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38" w:rsidRDefault="00395D38" w:rsidP="00395D38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E775BF">
        <w:rPr>
          <w:rFonts w:ascii="Tahoma" w:hAnsi="Tahoma" w:cs="Tahoma"/>
          <w:b/>
          <w:bCs/>
          <w:sz w:val="22"/>
          <w:szCs w:val="22"/>
        </w:rPr>
        <w:t>The Ca</w:t>
      </w:r>
      <w:r>
        <w:rPr>
          <w:rFonts w:ascii="Tahoma" w:hAnsi="Tahoma" w:cs="Tahoma"/>
          <w:b/>
          <w:bCs/>
          <w:sz w:val="22"/>
          <w:szCs w:val="22"/>
        </w:rPr>
        <w:t>binet met on Tuesday, May 9</w:t>
      </w:r>
      <w:r w:rsidRPr="00E775BF">
        <w:rPr>
          <w:rFonts w:ascii="Tahoma" w:hAnsi="Tahoma" w:cs="Tahoma"/>
          <w:b/>
          <w:bCs/>
          <w:sz w:val="22"/>
          <w:szCs w:val="22"/>
        </w:rPr>
        <w:t>, 2017, at Command Building I, Government House. Some of</w:t>
      </w:r>
      <w:r w:rsidR="00AC519D">
        <w:rPr>
          <w:rFonts w:ascii="Tahoma" w:hAnsi="Tahoma" w:cs="Tahoma"/>
          <w:b/>
          <w:bCs/>
          <w:sz w:val="22"/>
          <w:szCs w:val="22"/>
        </w:rPr>
        <w:t xml:space="preserve"> the resolutions are as follows:</w:t>
      </w:r>
    </w:p>
    <w:p w:rsidR="00AC519D" w:rsidRDefault="00AC519D" w:rsidP="00395D38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</w:p>
    <w:p w:rsidR="00AC519D" w:rsidRDefault="00224799" w:rsidP="00395D38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Title: </w:t>
      </w:r>
      <w:r w:rsidR="00AC519D">
        <w:rPr>
          <w:rFonts w:ascii="Tahoma" w:hAnsi="Tahoma" w:cs="Tahoma"/>
          <w:b/>
          <w:bCs/>
          <w:sz w:val="22"/>
          <w:szCs w:val="22"/>
        </w:rPr>
        <w:t>D</w:t>
      </w:r>
      <w:r w:rsidR="00AC519D" w:rsidRPr="00AC519D">
        <w:rPr>
          <w:rFonts w:ascii="Tahoma" w:hAnsi="Tahoma" w:cs="Tahoma"/>
          <w:b/>
          <w:bCs/>
          <w:sz w:val="22"/>
          <w:szCs w:val="22"/>
        </w:rPr>
        <w:t>raft</w:t>
      </w:r>
      <w:r w:rsidR="00AC519D">
        <w:rPr>
          <w:rFonts w:ascii="Tahoma" w:hAnsi="Tahoma" w:cs="Tahoma"/>
          <w:b/>
          <w:bCs/>
          <w:sz w:val="22"/>
          <w:szCs w:val="22"/>
        </w:rPr>
        <w:t xml:space="preserve"> 1</w:t>
      </w:r>
      <w:r w:rsidR="00AC519D" w:rsidRPr="00AC519D">
        <w:rPr>
          <w:rFonts w:ascii="Tahoma" w:hAnsi="Tahoma" w:cs="Tahoma"/>
          <w:b/>
          <w:bCs/>
          <w:sz w:val="22"/>
          <w:szCs w:val="22"/>
          <w:vertAlign w:val="superscript"/>
        </w:rPr>
        <w:t>st</w:t>
      </w:r>
      <w:r w:rsidR="00AC519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C519D" w:rsidRPr="00AC519D">
        <w:rPr>
          <w:rFonts w:ascii="Tahoma" w:hAnsi="Tahoma" w:cs="Tahoma"/>
          <w:b/>
          <w:bCs/>
          <w:sz w:val="22"/>
          <w:szCs w:val="22"/>
        </w:rPr>
        <w:t>Strategy Pl</w:t>
      </w:r>
      <w:r w:rsidR="00AC519D">
        <w:rPr>
          <w:rFonts w:ascii="Tahoma" w:hAnsi="Tahoma" w:cs="Tahoma"/>
          <w:b/>
          <w:bCs/>
          <w:sz w:val="22"/>
          <w:szCs w:val="22"/>
        </w:rPr>
        <w:t>an for Consumer Protection (</w:t>
      </w:r>
      <w:r w:rsidR="00AC519D" w:rsidRPr="00AC519D">
        <w:rPr>
          <w:rFonts w:ascii="Tahoma" w:hAnsi="Tahoma" w:cs="Tahoma"/>
          <w:b/>
          <w:bCs/>
          <w:sz w:val="22"/>
          <w:szCs w:val="22"/>
        </w:rPr>
        <w:t>2017-2021</w:t>
      </w:r>
      <w:r w:rsidR="00AC519D">
        <w:rPr>
          <w:rFonts w:ascii="Tahoma" w:hAnsi="Tahoma" w:cs="Tahoma"/>
          <w:b/>
          <w:bCs/>
          <w:sz w:val="22"/>
          <w:szCs w:val="22"/>
        </w:rPr>
        <w:t>)</w:t>
      </w:r>
    </w:p>
    <w:p w:rsidR="00AC519D" w:rsidRDefault="00AC519D" w:rsidP="00395D38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cabinet approved d</w:t>
      </w:r>
      <w:r w:rsidRPr="00AC519D">
        <w:rPr>
          <w:rFonts w:ascii="Tahoma" w:hAnsi="Tahoma" w:cs="Tahoma"/>
          <w:sz w:val="22"/>
          <w:szCs w:val="22"/>
        </w:rPr>
        <w:t>raft 1st Strategy Plan for Consumer Protection (2017-2021)</w:t>
      </w:r>
      <w:r>
        <w:rPr>
          <w:rFonts w:ascii="Tahoma" w:hAnsi="Tahoma" w:cs="Tahoma"/>
          <w:sz w:val="22"/>
          <w:szCs w:val="22"/>
        </w:rPr>
        <w:t xml:space="preserve">, as proposed by </w:t>
      </w:r>
      <w:r w:rsidRPr="00AC519D">
        <w:rPr>
          <w:rFonts w:ascii="Tahoma" w:hAnsi="Tahoma" w:cs="Tahoma"/>
          <w:sz w:val="22"/>
          <w:szCs w:val="22"/>
        </w:rPr>
        <w:t xml:space="preserve">Office of the Permanent Secretary, </w:t>
      </w:r>
      <w:r>
        <w:rPr>
          <w:rFonts w:ascii="Tahoma" w:hAnsi="Tahoma" w:cs="Tahoma"/>
          <w:sz w:val="22"/>
          <w:szCs w:val="22"/>
        </w:rPr>
        <w:t>t</w:t>
      </w:r>
      <w:r w:rsidRPr="00AC519D">
        <w:rPr>
          <w:rFonts w:ascii="Tahoma" w:hAnsi="Tahoma" w:cs="Tahoma"/>
          <w:sz w:val="22"/>
          <w:szCs w:val="22"/>
        </w:rPr>
        <w:t>he Prime Minister s Office</w:t>
      </w:r>
      <w:r>
        <w:rPr>
          <w:rFonts w:ascii="Tahoma" w:hAnsi="Tahoma" w:cs="Tahoma"/>
          <w:sz w:val="22"/>
          <w:szCs w:val="22"/>
        </w:rPr>
        <w:t>. Office of the Cabinet’s Secretariat is to notify National Strategy Preparation Committee, and National Reform Preparation Committee for them to take the strategy plan into consideration.</w:t>
      </w:r>
    </w:p>
    <w:p w:rsidR="00AC519D" w:rsidRPr="00AC519D" w:rsidRDefault="00AC519D" w:rsidP="00AC519D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AC519D">
        <w:rPr>
          <w:rFonts w:ascii="Tahoma" w:hAnsi="Tahoma" w:cs="Tahoma"/>
          <w:sz w:val="22"/>
          <w:szCs w:val="22"/>
        </w:rPr>
        <w:t>The Strategy Plan aims to integrate consumer protection measures into a system based on standards to ensure effective and su</w:t>
      </w:r>
      <w:r>
        <w:rPr>
          <w:rFonts w:ascii="Tahoma" w:hAnsi="Tahoma" w:cs="Tahoma"/>
          <w:sz w:val="22"/>
          <w:szCs w:val="22"/>
        </w:rPr>
        <w:t xml:space="preserve">stainable consumer protection. </w:t>
      </w:r>
    </w:p>
    <w:p w:rsidR="00AC519D" w:rsidRPr="00AC519D" w:rsidRDefault="00AC519D" w:rsidP="00AC519D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AC519D">
        <w:rPr>
          <w:rFonts w:ascii="Tahoma" w:hAnsi="Tahoma" w:cs="Tahoma"/>
          <w:sz w:val="22"/>
          <w:szCs w:val="22"/>
        </w:rPr>
        <w:t>The Strategy Plan consists of 5 Strategi</w:t>
      </w:r>
      <w:r w:rsidR="005C4F8E">
        <w:rPr>
          <w:rFonts w:ascii="Tahoma" w:hAnsi="Tahoma" w:cs="Tahoma"/>
          <w:sz w:val="22"/>
          <w:szCs w:val="22"/>
        </w:rPr>
        <w:t>es and 15 approaches, including</w:t>
      </w:r>
      <w:r w:rsidRPr="00AC519D">
        <w:rPr>
          <w:rFonts w:ascii="Tahoma" w:hAnsi="Tahoma" w:cs="Tahoma"/>
          <w:sz w:val="22"/>
          <w:szCs w:val="22"/>
        </w:rPr>
        <w:t>:</w:t>
      </w:r>
    </w:p>
    <w:p w:rsidR="00AC519D" w:rsidRPr="00AC519D" w:rsidRDefault="00AC519D" w:rsidP="00AC519D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AC519D">
        <w:rPr>
          <w:rFonts w:ascii="Tahoma" w:hAnsi="Tahoma" w:cs="Tahoma"/>
          <w:sz w:val="22"/>
          <w:szCs w:val="22"/>
        </w:rPr>
        <w:t>a.</w:t>
      </w:r>
      <w:r w:rsidRPr="00AC519D">
        <w:rPr>
          <w:rFonts w:ascii="Tahoma" w:hAnsi="Tahoma" w:cs="Tahoma"/>
          <w:sz w:val="22"/>
          <w:szCs w:val="22"/>
        </w:rPr>
        <w:tab/>
        <w:t>Improving the enforcement of consumer protection legislation, /</w:t>
      </w:r>
    </w:p>
    <w:p w:rsidR="00AC519D" w:rsidRPr="00AC519D" w:rsidRDefault="00AC519D" w:rsidP="00AC519D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AC519D">
        <w:rPr>
          <w:rFonts w:ascii="Tahoma" w:hAnsi="Tahoma" w:cs="Tahoma"/>
          <w:sz w:val="22"/>
          <w:szCs w:val="22"/>
        </w:rPr>
        <w:t>b.</w:t>
      </w:r>
      <w:r w:rsidRPr="00AC519D">
        <w:rPr>
          <w:rFonts w:ascii="Tahoma" w:hAnsi="Tahoma" w:cs="Tahoma"/>
          <w:sz w:val="22"/>
          <w:szCs w:val="22"/>
        </w:rPr>
        <w:tab/>
        <w:t>Improving the consumer protection database, /</w:t>
      </w:r>
    </w:p>
    <w:p w:rsidR="00AC519D" w:rsidRPr="00AC519D" w:rsidRDefault="00AC519D" w:rsidP="00AC519D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AC519D">
        <w:rPr>
          <w:rFonts w:ascii="Tahoma" w:hAnsi="Tahoma" w:cs="Tahoma"/>
          <w:sz w:val="22"/>
          <w:szCs w:val="22"/>
        </w:rPr>
        <w:t>c.</w:t>
      </w:r>
      <w:r w:rsidRPr="00AC519D">
        <w:rPr>
          <w:rFonts w:ascii="Tahoma" w:hAnsi="Tahoma" w:cs="Tahoma"/>
          <w:sz w:val="22"/>
          <w:szCs w:val="22"/>
        </w:rPr>
        <w:tab/>
        <w:t>Promoting consumer empowerment and enhancing consumer knowledge, /</w:t>
      </w:r>
    </w:p>
    <w:p w:rsidR="00AC519D" w:rsidRPr="00AC519D" w:rsidRDefault="00AC519D" w:rsidP="00AC519D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AC519D">
        <w:rPr>
          <w:rFonts w:ascii="Tahoma" w:hAnsi="Tahoma" w:cs="Tahoma"/>
          <w:sz w:val="22"/>
          <w:szCs w:val="22"/>
        </w:rPr>
        <w:t>d.</w:t>
      </w:r>
      <w:r w:rsidRPr="00AC519D">
        <w:rPr>
          <w:rFonts w:ascii="Tahoma" w:hAnsi="Tahoma" w:cs="Tahoma"/>
          <w:sz w:val="22"/>
          <w:szCs w:val="22"/>
        </w:rPr>
        <w:tab/>
        <w:t>Creating and developing the potential of consumer protection networks, /</w:t>
      </w:r>
    </w:p>
    <w:p w:rsidR="00AC519D" w:rsidRDefault="00AC519D" w:rsidP="00AC519D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AC519D">
        <w:rPr>
          <w:rFonts w:ascii="Tahoma" w:hAnsi="Tahoma" w:cs="Tahoma"/>
          <w:sz w:val="22"/>
          <w:szCs w:val="22"/>
        </w:rPr>
        <w:t>e.</w:t>
      </w:r>
      <w:r w:rsidRPr="00AC519D">
        <w:rPr>
          <w:rFonts w:ascii="Tahoma" w:hAnsi="Tahoma" w:cs="Tahoma"/>
          <w:sz w:val="22"/>
          <w:szCs w:val="22"/>
        </w:rPr>
        <w:tab/>
        <w:t>And enhancing the integration of consumer protection measures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8A792D" w:rsidRDefault="008A792D" w:rsidP="00AC519D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8A792D" w:rsidRDefault="00224799" w:rsidP="00AC519D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Title: F</w:t>
      </w:r>
      <w:r w:rsidRPr="00224799">
        <w:rPr>
          <w:rFonts w:ascii="Tahoma" w:hAnsi="Tahoma" w:cs="Tahoma"/>
          <w:b/>
          <w:bCs/>
          <w:sz w:val="22"/>
          <w:szCs w:val="22"/>
        </w:rPr>
        <w:t>ramework for promoting research and development in science, technology and innovation in the five</w:t>
      </w:r>
      <w:r>
        <w:rPr>
          <w:rFonts w:ascii="Tahoma" w:hAnsi="Tahoma" w:cs="Tahoma"/>
          <w:b/>
          <w:bCs/>
          <w:sz w:val="22"/>
          <w:szCs w:val="22"/>
        </w:rPr>
        <w:t xml:space="preserve"> key S- curve industries under </w:t>
      </w:r>
      <w:proofErr w:type="spellStart"/>
      <w:r w:rsidRPr="00224799">
        <w:rPr>
          <w:rFonts w:ascii="Tahoma" w:hAnsi="Tahoma" w:cs="Tahoma"/>
          <w:b/>
          <w:bCs/>
          <w:sz w:val="22"/>
          <w:szCs w:val="22"/>
        </w:rPr>
        <w:t>Pracharat</w:t>
      </w:r>
      <w:proofErr w:type="spellEnd"/>
      <w:r w:rsidRPr="00224799">
        <w:rPr>
          <w:rFonts w:ascii="Tahoma" w:hAnsi="Tahoma" w:cs="Tahoma"/>
          <w:b/>
          <w:bCs/>
          <w:sz w:val="22"/>
          <w:szCs w:val="22"/>
        </w:rPr>
        <w:t xml:space="preserve"> model, including relate</w:t>
      </w:r>
      <w:r>
        <w:rPr>
          <w:rFonts w:ascii="Tahoma" w:hAnsi="Tahoma" w:cs="Tahoma"/>
          <w:b/>
          <w:bCs/>
          <w:sz w:val="22"/>
          <w:szCs w:val="22"/>
        </w:rPr>
        <w:t>d tax benefits on such program</w:t>
      </w:r>
      <w:r w:rsidRPr="00224799">
        <w:rPr>
          <w:rFonts w:ascii="Tahoma" w:hAnsi="Tahoma" w:cs="Tahoma"/>
          <w:b/>
          <w:bCs/>
          <w:sz w:val="22"/>
          <w:szCs w:val="22"/>
        </w:rPr>
        <w:t>s</w:t>
      </w:r>
    </w:p>
    <w:p w:rsidR="00224799" w:rsidRDefault="00224799" w:rsidP="0022479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cabinet made approval in principle </w:t>
      </w:r>
      <w:r w:rsidRPr="00224799">
        <w:rPr>
          <w:rFonts w:ascii="Tahoma" w:hAnsi="Tahoma" w:cs="Tahoma"/>
          <w:sz w:val="22"/>
          <w:szCs w:val="22"/>
        </w:rPr>
        <w:t xml:space="preserve">of the Framework for promoting research and development in science, technology and innovation in the five key S- curve industries under </w:t>
      </w:r>
      <w:proofErr w:type="spellStart"/>
      <w:r w:rsidRPr="00224799">
        <w:rPr>
          <w:rFonts w:ascii="Tahoma" w:hAnsi="Tahoma" w:cs="Tahoma"/>
          <w:sz w:val="22"/>
          <w:szCs w:val="22"/>
        </w:rPr>
        <w:t>Pracharat</w:t>
      </w:r>
      <w:proofErr w:type="spellEnd"/>
      <w:r w:rsidRPr="00224799">
        <w:rPr>
          <w:rFonts w:ascii="Tahoma" w:hAnsi="Tahoma" w:cs="Tahoma"/>
          <w:sz w:val="22"/>
          <w:szCs w:val="22"/>
        </w:rPr>
        <w:t xml:space="preserve"> model, including related tax benefits on such programs, as proposed by Ministry of Finance, and assigned Ministry of Science and Technology to be the main agency in setting up Public-Private Collaborative Committees for each industry.</w:t>
      </w:r>
      <w:r>
        <w:rPr>
          <w:rFonts w:ascii="Tahoma" w:hAnsi="Tahoma" w:cs="Tahoma"/>
          <w:sz w:val="22"/>
          <w:szCs w:val="22"/>
        </w:rPr>
        <w:t xml:space="preserve"> </w:t>
      </w:r>
      <w:r w:rsidRPr="00224799">
        <w:rPr>
          <w:rFonts w:ascii="Tahoma" w:hAnsi="Tahoma" w:cs="Tahoma"/>
          <w:sz w:val="22"/>
          <w:szCs w:val="22"/>
        </w:rPr>
        <w:t xml:space="preserve">Ministry of Finance and Ministry of Science and Technology </w:t>
      </w:r>
      <w:r>
        <w:rPr>
          <w:rFonts w:ascii="Tahoma" w:hAnsi="Tahoma" w:cs="Tahoma"/>
          <w:sz w:val="22"/>
          <w:szCs w:val="22"/>
        </w:rPr>
        <w:t xml:space="preserve">are </w:t>
      </w:r>
      <w:r w:rsidR="00672637">
        <w:rPr>
          <w:rFonts w:ascii="Tahoma" w:hAnsi="Tahoma" w:cs="Tahoma"/>
          <w:sz w:val="22"/>
          <w:szCs w:val="22"/>
        </w:rPr>
        <w:t xml:space="preserve">also </w:t>
      </w:r>
      <w:r w:rsidRPr="00224799">
        <w:rPr>
          <w:rFonts w:ascii="Tahoma" w:hAnsi="Tahoma" w:cs="Tahoma"/>
          <w:sz w:val="22"/>
          <w:szCs w:val="22"/>
        </w:rPr>
        <w:t>to work together in determining expenses eligible for tax incentives</w:t>
      </w:r>
    </w:p>
    <w:p w:rsidR="00224799" w:rsidRPr="00224799" w:rsidRDefault="00224799" w:rsidP="0022479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224799">
        <w:rPr>
          <w:rFonts w:ascii="Tahoma" w:hAnsi="Tahoma" w:cs="Tahoma"/>
          <w:sz w:val="22"/>
          <w:szCs w:val="22"/>
        </w:rPr>
        <w:t xml:space="preserve">The five key industries include </w:t>
      </w:r>
    </w:p>
    <w:p w:rsidR="00224799" w:rsidRPr="00224799" w:rsidRDefault="00224799" w:rsidP="0022479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224799">
        <w:rPr>
          <w:rFonts w:ascii="Tahoma" w:hAnsi="Tahoma" w:cs="Tahoma"/>
          <w:sz w:val="22"/>
          <w:szCs w:val="22"/>
        </w:rPr>
        <w:t>-</w:t>
      </w:r>
      <w:r w:rsidRPr="00224799">
        <w:rPr>
          <w:rFonts w:ascii="Tahoma" w:hAnsi="Tahoma" w:cs="Tahoma"/>
          <w:sz w:val="22"/>
          <w:szCs w:val="22"/>
        </w:rPr>
        <w:tab/>
        <w:t xml:space="preserve">Food, agriculture, and bio-technologies, </w:t>
      </w:r>
    </w:p>
    <w:p w:rsidR="00224799" w:rsidRPr="00224799" w:rsidRDefault="00224799" w:rsidP="0022479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224799">
        <w:rPr>
          <w:rFonts w:ascii="Tahoma" w:hAnsi="Tahoma" w:cs="Tahoma"/>
          <w:sz w:val="22"/>
          <w:szCs w:val="22"/>
        </w:rPr>
        <w:lastRenderedPageBreak/>
        <w:t>-</w:t>
      </w:r>
      <w:r w:rsidRPr="00224799">
        <w:rPr>
          <w:rFonts w:ascii="Tahoma" w:hAnsi="Tahoma" w:cs="Tahoma"/>
          <w:sz w:val="22"/>
          <w:szCs w:val="22"/>
        </w:rPr>
        <w:tab/>
        <w:t xml:space="preserve">Public health and medical technology, </w:t>
      </w:r>
    </w:p>
    <w:p w:rsidR="00224799" w:rsidRPr="00224799" w:rsidRDefault="00224799" w:rsidP="0022479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224799">
        <w:rPr>
          <w:rFonts w:ascii="Tahoma" w:hAnsi="Tahoma" w:cs="Tahoma"/>
          <w:sz w:val="22"/>
          <w:szCs w:val="22"/>
        </w:rPr>
        <w:t>-</w:t>
      </w:r>
      <w:r w:rsidRPr="00224799">
        <w:rPr>
          <w:rFonts w:ascii="Tahoma" w:hAnsi="Tahoma" w:cs="Tahoma"/>
          <w:sz w:val="22"/>
          <w:szCs w:val="22"/>
        </w:rPr>
        <w:tab/>
        <w:t xml:space="preserve">Smart electronics, robotics and smart machineries, </w:t>
      </w:r>
    </w:p>
    <w:p w:rsidR="00224799" w:rsidRPr="00224799" w:rsidRDefault="00224799" w:rsidP="0022479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224799">
        <w:rPr>
          <w:rFonts w:ascii="Tahoma" w:hAnsi="Tahoma" w:cs="Tahoma"/>
          <w:sz w:val="22"/>
          <w:szCs w:val="22"/>
        </w:rPr>
        <w:t>-</w:t>
      </w:r>
      <w:r w:rsidRPr="00224799">
        <w:rPr>
          <w:rFonts w:ascii="Tahoma" w:hAnsi="Tahoma" w:cs="Tahoma"/>
          <w:sz w:val="22"/>
          <w:szCs w:val="22"/>
        </w:rPr>
        <w:tab/>
        <w:t>Digital technology and embedded systems,</w:t>
      </w:r>
    </w:p>
    <w:p w:rsidR="00224799" w:rsidRPr="00224799" w:rsidRDefault="004B0570" w:rsidP="00224799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and</w:t>
      </w:r>
      <w:proofErr w:type="gramEnd"/>
      <w:r>
        <w:rPr>
          <w:rFonts w:ascii="Tahoma" w:hAnsi="Tahoma" w:cs="Tahoma"/>
          <w:sz w:val="22"/>
          <w:szCs w:val="22"/>
        </w:rPr>
        <w:t xml:space="preserve"> C</w:t>
      </w:r>
      <w:r w:rsidR="00224799" w:rsidRPr="00224799">
        <w:rPr>
          <w:rFonts w:ascii="Tahoma" w:hAnsi="Tahoma" w:cs="Tahoma"/>
          <w:sz w:val="22"/>
          <w:szCs w:val="22"/>
        </w:rPr>
        <w:t>reative culture services.</w:t>
      </w:r>
    </w:p>
    <w:p w:rsidR="00AC519D" w:rsidRPr="00EE2DD8" w:rsidRDefault="00AC519D" w:rsidP="00224799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EE2DD8">
        <w:rPr>
          <w:rFonts w:ascii="Tahoma" w:hAnsi="Tahoma" w:cs="Tahoma"/>
          <w:sz w:val="22"/>
          <w:szCs w:val="22"/>
        </w:rPr>
        <w:tab/>
      </w:r>
      <w:r w:rsidRPr="00EE2DD8">
        <w:rPr>
          <w:rFonts w:ascii="Tahoma" w:hAnsi="Tahoma" w:cs="Tahoma"/>
          <w:sz w:val="22"/>
          <w:szCs w:val="22"/>
        </w:rPr>
        <w:tab/>
      </w:r>
    </w:p>
    <w:p w:rsidR="00BB0BA7" w:rsidRDefault="00BB0BA7" w:rsidP="00BB0BA7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Title: E</w:t>
      </w:r>
      <w:r w:rsidRPr="00BB0BA7">
        <w:rPr>
          <w:rFonts w:ascii="Tahoma" w:hAnsi="Tahoma" w:cs="Tahoma"/>
          <w:b/>
          <w:bCs/>
          <w:sz w:val="22"/>
          <w:szCs w:val="22"/>
        </w:rPr>
        <w:t xml:space="preserve">xtension of </w:t>
      </w:r>
      <w:r>
        <w:rPr>
          <w:rFonts w:ascii="Tahoma" w:hAnsi="Tahoma" w:cs="Tahoma"/>
          <w:b/>
          <w:bCs/>
          <w:sz w:val="22"/>
          <w:szCs w:val="22"/>
        </w:rPr>
        <w:t>measure to alleviate people’s financial burden in transport</w:t>
      </w:r>
    </w:p>
    <w:p w:rsidR="00BB0BA7" w:rsidRDefault="00BB0BA7" w:rsidP="00BB0BA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cabinet approved e</w:t>
      </w:r>
      <w:r w:rsidRPr="00BB0BA7">
        <w:rPr>
          <w:rFonts w:ascii="Tahoma" w:hAnsi="Tahoma" w:cs="Tahoma"/>
          <w:sz w:val="22"/>
          <w:szCs w:val="22"/>
        </w:rPr>
        <w:t>xtension of measure to alleviate people’s financial burden in transport</w:t>
      </w:r>
      <w:r>
        <w:rPr>
          <w:rFonts w:ascii="Tahoma" w:hAnsi="Tahoma" w:cs="Tahoma"/>
          <w:sz w:val="22"/>
          <w:szCs w:val="22"/>
        </w:rPr>
        <w:t>. F</w:t>
      </w:r>
      <w:r w:rsidRPr="00BB0BA7">
        <w:rPr>
          <w:rFonts w:ascii="Tahoma" w:hAnsi="Tahoma" w:cs="Tahoma"/>
          <w:sz w:val="22"/>
          <w:szCs w:val="22"/>
        </w:rPr>
        <w:t>ree standard bus and train services for low-income earners</w:t>
      </w:r>
      <w:r>
        <w:rPr>
          <w:rFonts w:ascii="Tahoma" w:hAnsi="Tahoma" w:cs="Tahoma"/>
          <w:sz w:val="22"/>
          <w:szCs w:val="22"/>
        </w:rPr>
        <w:t xml:space="preserve"> will be extended for another 5 months from May 1- September 30, 2017.</w:t>
      </w:r>
    </w:p>
    <w:p w:rsidR="00BB0BA7" w:rsidRDefault="00BB0BA7" w:rsidP="00BB0BA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Ministry of Finance’s plan to issue fare exemption card </w:t>
      </w:r>
      <w:r w:rsidR="003F436D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 xml:space="preserve">buses and trains to low-income earners </w:t>
      </w:r>
      <w:r w:rsidR="003F436D">
        <w:rPr>
          <w:rFonts w:ascii="Tahoma" w:hAnsi="Tahoma" w:cs="Tahoma"/>
          <w:sz w:val="22"/>
          <w:szCs w:val="22"/>
        </w:rPr>
        <w:t>is expected in</w:t>
      </w:r>
      <w:r>
        <w:rPr>
          <w:rFonts w:ascii="Tahoma" w:hAnsi="Tahoma" w:cs="Tahoma"/>
          <w:sz w:val="22"/>
          <w:szCs w:val="22"/>
        </w:rPr>
        <w:t xml:space="preserve"> August- September 2017</w:t>
      </w:r>
      <w:r w:rsidR="003F436D">
        <w:rPr>
          <w:rFonts w:ascii="Tahoma" w:hAnsi="Tahoma" w:cs="Tahoma"/>
          <w:sz w:val="22"/>
          <w:szCs w:val="22"/>
        </w:rPr>
        <w:t>, and the cards can be used</w:t>
      </w:r>
      <w:r>
        <w:rPr>
          <w:rFonts w:ascii="Tahoma" w:hAnsi="Tahoma" w:cs="Tahoma"/>
          <w:sz w:val="22"/>
          <w:szCs w:val="22"/>
        </w:rPr>
        <w:t xml:space="preserve"> </w:t>
      </w:r>
      <w:r w:rsidR="003F436D">
        <w:rPr>
          <w:rFonts w:ascii="Tahoma" w:hAnsi="Tahoma" w:cs="Tahoma"/>
          <w:sz w:val="22"/>
          <w:szCs w:val="22"/>
        </w:rPr>
        <w:t>from</w:t>
      </w:r>
      <w:r>
        <w:rPr>
          <w:rFonts w:ascii="Tahoma" w:hAnsi="Tahoma" w:cs="Tahoma"/>
          <w:sz w:val="22"/>
          <w:szCs w:val="22"/>
        </w:rPr>
        <w:t xml:space="preserve"> October 2017</w:t>
      </w:r>
      <w:r w:rsidR="003F436D">
        <w:rPr>
          <w:rFonts w:ascii="Tahoma" w:hAnsi="Tahoma" w:cs="Tahoma"/>
          <w:sz w:val="22"/>
          <w:szCs w:val="22"/>
        </w:rPr>
        <w:t xml:space="preserve"> onward</w:t>
      </w:r>
      <w:r>
        <w:rPr>
          <w:rFonts w:ascii="Tahoma" w:hAnsi="Tahoma" w:cs="Tahoma"/>
          <w:sz w:val="22"/>
          <w:szCs w:val="22"/>
        </w:rPr>
        <w:t>.</w:t>
      </w:r>
    </w:p>
    <w:p w:rsidR="003F436D" w:rsidRDefault="003F436D" w:rsidP="00BB0BA7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</w:p>
    <w:p w:rsidR="003F436D" w:rsidRDefault="003F436D" w:rsidP="00BB0BA7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Title: </w:t>
      </w:r>
      <w:r w:rsidRPr="003F436D">
        <w:rPr>
          <w:rFonts w:ascii="Tahoma" w:hAnsi="Tahoma" w:cs="Tahoma"/>
          <w:b/>
          <w:bCs/>
          <w:sz w:val="22"/>
          <w:szCs w:val="22"/>
        </w:rPr>
        <w:t>Memorandum of Arrangement on Cooperation and Exchanges in the Field of Defense between the Ministry of Defense of Thailand and the Ministry of Defense of Japan</w:t>
      </w:r>
    </w:p>
    <w:p w:rsidR="003F436D" w:rsidRDefault="003F436D" w:rsidP="00BB0BA7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Cabinet approved Ministry of Defense’s proposals as follows:</w:t>
      </w:r>
    </w:p>
    <w:p w:rsidR="003F436D" w:rsidRPr="003F436D" w:rsidRDefault="003F436D" w:rsidP="003F436D">
      <w:pPr>
        <w:pStyle w:val="a3"/>
        <w:numPr>
          <w:ilvl w:val="0"/>
          <w:numId w:val="3"/>
        </w:numPr>
        <w:spacing w:after="240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Approved </w:t>
      </w:r>
      <w:r w:rsidRPr="00EE2DD8">
        <w:rPr>
          <w:rFonts w:ascii="Tahoma" w:eastAsiaTheme="minorHAnsi" w:hAnsi="Tahoma" w:cs="Tahoma"/>
          <w:szCs w:val="22"/>
        </w:rPr>
        <w:t xml:space="preserve">Memorandum of Arrangement between the Ministry of </w:t>
      </w:r>
      <w:proofErr w:type="spellStart"/>
      <w:r w:rsidRPr="00EE2DD8">
        <w:rPr>
          <w:rFonts w:ascii="Tahoma" w:eastAsiaTheme="minorHAnsi" w:hAnsi="Tahoma" w:cs="Tahoma"/>
          <w:szCs w:val="22"/>
        </w:rPr>
        <w:t>Defence</w:t>
      </w:r>
      <w:proofErr w:type="spellEnd"/>
      <w:r w:rsidRPr="00EE2DD8">
        <w:rPr>
          <w:rFonts w:ascii="Tahoma" w:eastAsiaTheme="minorHAnsi" w:hAnsi="Tahoma" w:cs="Tahoma"/>
          <w:szCs w:val="22"/>
        </w:rPr>
        <w:t xml:space="preserve"> of the Kingdom of Thailand and the Ministry of Defense of Japan on Cooperation and Exchanges in the Field of Defense</w:t>
      </w:r>
    </w:p>
    <w:p w:rsidR="003F436D" w:rsidRPr="003F436D" w:rsidRDefault="003F436D" w:rsidP="003F436D">
      <w:pPr>
        <w:pStyle w:val="a3"/>
        <w:numPr>
          <w:ilvl w:val="0"/>
          <w:numId w:val="3"/>
        </w:numPr>
        <w:spacing w:after="240"/>
        <w:jc w:val="thaiDistribute"/>
        <w:rPr>
          <w:rFonts w:ascii="Tahoma" w:hAnsi="Tahoma" w:cs="Tahoma"/>
          <w:szCs w:val="22"/>
        </w:rPr>
      </w:pPr>
      <w:r>
        <w:rPr>
          <w:rFonts w:ascii="Tahoma" w:eastAsiaTheme="minorHAnsi" w:hAnsi="Tahoma" w:cs="Tahoma"/>
          <w:szCs w:val="22"/>
        </w:rPr>
        <w:t>Approved for Minister of Defense to be signatory of the MOA.</w:t>
      </w:r>
    </w:p>
    <w:p w:rsidR="003F436D" w:rsidRPr="003F436D" w:rsidRDefault="003F436D" w:rsidP="003F436D">
      <w:pPr>
        <w:pStyle w:val="a3"/>
        <w:numPr>
          <w:ilvl w:val="0"/>
          <w:numId w:val="3"/>
        </w:numPr>
        <w:spacing w:after="240"/>
        <w:jc w:val="thaiDistribute"/>
        <w:rPr>
          <w:rFonts w:ascii="Tahoma" w:hAnsi="Tahoma" w:cs="Tahoma"/>
          <w:szCs w:val="22"/>
        </w:rPr>
      </w:pPr>
      <w:r w:rsidRPr="00E775BF">
        <w:rPr>
          <w:rFonts w:ascii="Tahoma" w:hAnsi="Tahoma" w:cs="Tahoma"/>
          <w:szCs w:val="22"/>
        </w:rPr>
        <w:t xml:space="preserve">Should there be any amendment, if not </w:t>
      </w:r>
      <w:r>
        <w:rPr>
          <w:rFonts w:ascii="Tahoma" w:hAnsi="Tahoma" w:cs="Tahoma"/>
          <w:szCs w:val="22"/>
        </w:rPr>
        <w:t>af</w:t>
      </w:r>
      <w:r w:rsidRPr="00E775BF">
        <w:rPr>
          <w:rFonts w:ascii="Tahoma" w:hAnsi="Tahoma" w:cs="Tahoma"/>
          <w:szCs w:val="22"/>
        </w:rPr>
        <w:t xml:space="preserve">fecting gist of the </w:t>
      </w:r>
      <w:r>
        <w:rPr>
          <w:rFonts w:ascii="Tahoma" w:hAnsi="Tahoma" w:cs="Tahoma"/>
          <w:szCs w:val="22"/>
        </w:rPr>
        <w:t>agreement</w:t>
      </w:r>
      <w:r w:rsidRPr="00E775BF">
        <w:rPr>
          <w:rFonts w:ascii="Tahoma" w:eastAsia="Tahoma" w:hAnsi="Tahoma" w:cs="Tahoma"/>
          <w:szCs w:val="22"/>
        </w:rPr>
        <w:t xml:space="preserve">, Ministry of </w:t>
      </w:r>
      <w:r w:rsidRPr="003F436D">
        <w:rPr>
          <w:rFonts w:ascii="Tahoma" w:eastAsia="Tahoma" w:hAnsi="Tahoma" w:cs="Tahoma"/>
          <w:szCs w:val="22"/>
        </w:rPr>
        <w:t xml:space="preserve">Defense is authorized to proceed as see appropriate. </w:t>
      </w:r>
    </w:p>
    <w:p w:rsidR="003F436D" w:rsidRPr="003F436D" w:rsidRDefault="003F436D" w:rsidP="003F436D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r w:rsidRPr="003F436D">
        <w:rPr>
          <w:rFonts w:ascii="Tahoma" w:hAnsi="Tahoma" w:cs="Tahoma"/>
          <w:sz w:val="22"/>
          <w:szCs w:val="22"/>
        </w:rPr>
        <w:t>The purpose of the MOA is to facilitate collaboration between the two nations through joint meetings, exchanges of officials, information-sharing, research, tr</w:t>
      </w:r>
      <w:r>
        <w:rPr>
          <w:rFonts w:ascii="Tahoma" w:hAnsi="Tahoma" w:cs="Tahoma"/>
          <w:sz w:val="22"/>
          <w:szCs w:val="22"/>
        </w:rPr>
        <w:t>aining, and logistical support.</w:t>
      </w:r>
      <w:r w:rsidRPr="003F436D">
        <w:rPr>
          <w:rFonts w:ascii="Tahoma" w:hAnsi="Tahoma" w:cs="Tahoma"/>
          <w:sz w:val="22"/>
          <w:szCs w:val="22"/>
        </w:rPr>
        <w:t xml:space="preserve"> This MOA will be renewed every 5 years and Japan’s Ministry of Defense is expected to visit Thailand in May 2017</w:t>
      </w:r>
    </w:p>
    <w:p w:rsidR="003F436D" w:rsidRDefault="00AC519D" w:rsidP="00AC519D">
      <w:pPr>
        <w:spacing w:line="276" w:lineRule="auto"/>
        <w:jc w:val="thaiDistribute"/>
        <w:rPr>
          <w:rFonts w:ascii="Tahoma" w:eastAsiaTheme="minorHAnsi" w:hAnsi="Tahoma" w:cs="Tahoma"/>
          <w:sz w:val="22"/>
          <w:szCs w:val="22"/>
        </w:rPr>
      </w:pPr>
      <w:r w:rsidRPr="00EE2DD8">
        <w:rPr>
          <w:rFonts w:ascii="Tahoma" w:eastAsiaTheme="minorHAnsi" w:hAnsi="Tahoma" w:cs="Tahoma"/>
          <w:sz w:val="22"/>
          <w:szCs w:val="22"/>
          <w:cs/>
        </w:rPr>
        <w:tab/>
      </w:r>
      <w:r w:rsidRPr="00EE2DD8">
        <w:rPr>
          <w:rFonts w:ascii="Tahoma" w:eastAsiaTheme="minorHAnsi" w:hAnsi="Tahoma" w:cs="Tahoma"/>
          <w:sz w:val="22"/>
          <w:szCs w:val="22"/>
          <w:cs/>
        </w:rPr>
        <w:tab/>
      </w:r>
      <w:r w:rsidRPr="00EE2DD8">
        <w:rPr>
          <w:rFonts w:ascii="Tahoma" w:eastAsiaTheme="minorHAnsi" w:hAnsi="Tahoma" w:cs="Tahoma"/>
          <w:sz w:val="22"/>
          <w:szCs w:val="22"/>
        </w:rPr>
        <w:tab/>
      </w:r>
      <w:r w:rsidRPr="00EE2DD8">
        <w:rPr>
          <w:rFonts w:ascii="Tahoma" w:eastAsiaTheme="minorHAnsi" w:hAnsi="Tahoma" w:cs="Tahoma"/>
          <w:sz w:val="22"/>
          <w:szCs w:val="22"/>
        </w:rPr>
        <w:tab/>
      </w:r>
    </w:p>
    <w:p w:rsidR="00CB0009" w:rsidRDefault="003F436D" w:rsidP="00CB0009">
      <w:pPr>
        <w:spacing w:after="240" w:line="276" w:lineRule="auto"/>
        <w:jc w:val="thaiDistribute"/>
        <w:rPr>
          <w:rFonts w:ascii="Tahoma" w:eastAsiaTheme="minorHAnsi" w:hAnsi="Tahoma" w:cs="Tahoma"/>
          <w:b/>
          <w:bCs/>
          <w:sz w:val="22"/>
          <w:szCs w:val="22"/>
        </w:rPr>
      </w:pPr>
      <w:r>
        <w:rPr>
          <w:rFonts w:ascii="Tahoma" w:eastAsiaTheme="minorHAnsi" w:hAnsi="Tahoma" w:cs="Tahoma"/>
          <w:b/>
          <w:bCs/>
          <w:sz w:val="22"/>
          <w:szCs w:val="22"/>
        </w:rPr>
        <w:t xml:space="preserve">Title: </w:t>
      </w:r>
      <w:r w:rsidR="00CB0009">
        <w:rPr>
          <w:rFonts w:ascii="Tahoma" w:eastAsiaTheme="minorHAnsi" w:hAnsi="Tahoma" w:cs="Tahoma"/>
          <w:b/>
          <w:bCs/>
          <w:sz w:val="22"/>
          <w:szCs w:val="22"/>
        </w:rPr>
        <w:t>2</w:t>
      </w:r>
      <w:r w:rsidR="00CB0009" w:rsidRPr="00CB0009">
        <w:rPr>
          <w:rFonts w:ascii="Tahoma" w:eastAsiaTheme="minorHAnsi" w:hAnsi="Tahoma" w:cs="Tahoma"/>
          <w:b/>
          <w:bCs/>
          <w:sz w:val="22"/>
          <w:szCs w:val="22"/>
          <w:vertAlign w:val="superscript"/>
        </w:rPr>
        <w:t>nd</w:t>
      </w:r>
      <w:r w:rsidR="00CB0009">
        <w:rPr>
          <w:rFonts w:ascii="Tahoma" w:eastAsiaTheme="minorHAnsi" w:hAnsi="Tahoma" w:cs="Tahoma"/>
          <w:b/>
          <w:bCs/>
          <w:sz w:val="22"/>
          <w:szCs w:val="22"/>
        </w:rPr>
        <w:t xml:space="preserve"> </w:t>
      </w:r>
      <w:r w:rsidR="00CB0009" w:rsidRPr="00CB0009">
        <w:rPr>
          <w:rFonts w:ascii="Tahoma" w:eastAsiaTheme="minorHAnsi" w:hAnsi="Tahoma" w:cs="Tahoma"/>
          <w:b/>
          <w:bCs/>
          <w:sz w:val="22"/>
          <w:szCs w:val="22"/>
        </w:rPr>
        <w:t>IORA Blue Economy Ministerial Conference</w:t>
      </w:r>
    </w:p>
    <w:p w:rsidR="00CB0009" w:rsidRDefault="00CB0009" w:rsidP="00CB0009">
      <w:pPr>
        <w:spacing w:after="240" w:line="276" w:lineRule="auto"/>
        <w:jc w:val="thaiDistribute"/>
        <w:rPr>
          <w:rFonts w:ascii="Tahoma" w:eastAsiaTheme="minorHAnsi" w:hAnsi="Tahoma" w:cs="Tahoma"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</w:rPr>
        <w:t>The cabinet approved the following proposals made by Ministry of Foreign Affairs:</w:t>
      </w:r>
    </w:p>
    <w:p w:rsidR="00CB0009" w:rsidRPr="00A75BC5" w:rsidRDefault="00CB0009" w:rsidP="00CB0009">
      <w:pPr>
        <w:pStyle w:val="a3"/>
        <w:numPr>
          <w:ilvl w:val="0"/>
          <w:numId w:val="4"/>
        </w:numPr>
        <w:spacing w:after="240"/>
        <w:jc w:val="thaiDistribute"/>
        <w:rPr>
          <w:rFonts w:ascii="Tahoma" w:eastAsiaTheme="minorHAnsi" w:hAnsi="Tahoma" w:cs="Tahoma"/>
          <w:szCs w:val="22"/>
        </w:rPr>
      </w:pPr>
      <w:r>
        <w:rPr>
          <w:rFonts w:ascii="Tahoma" w:eastAsiaTheme="minorHAnsi" w:hAnsi="Tahoma" w:cs="Tahoma"/>
          <w:szCs w:val="22"/>
        </w:rPr>
        <w:lastRenderedPageBreak/>
        <w:t xml:space="preserve">Approved in principle </w:t>
      </w:r>
      <w:r w:rsidRPr="00CB0009">
        <w:rPr>
          <w:rFonts w:ascii="Tahoma" w:eastAsiaTheme="minorHAnsi" w:hAnsi="Tahoma" w:cs="Tahoma"/>
          <w:szCs w:val="22"/>
        </w:rPr>
        <w:t>Draft of the Jakarta Declaration on Blue Economy</w:t>
      </w:r>
      <w:r w:rsidR="00A75BC5">
        <w:rPr>
          <w:rFonts w:ascii="Tahoma" w:eastAsiaTheme="minorHAnsi" w:hAnsi="Tahoma" w:cs="Tahoma"/>
          <w:szCs w:val="22"/>
        </w:rPr>
        <w:t xml:space="preserve">. </w:t>
      </w:r>
      <w:r w:rsidR="00A75BC5" w:rsidRPr="00E775BF">
        <w:rPr>
          <w:rFonts w:ascii="Tahoma" w:hAnsi="Tahoma" w:cs="Tahoma"/>
          <w:szCs w:val="22"/>
        </w:rPr>
        <w:t xml:space="preserve">Should there be any amendment, if not </w:t>
      </w:r>
      <w:r w:rsidR="00A75BC5">
        <w:rPr>
          <w:rFonts w:ascii="Tahoma" w:hAnsi="Tahoma" w:cs="Tahoma"/>
          <w:szCs w:val="22"/>
        </w:rPr>
        <w:t>af</w:t>
      </w:r>
      <w:r w:rsidR="00A75BC5" w:rsidRPr="00E775BF">
        <w:rPr>
          <w:rFonts w:ascii="Tahoma" w:hAnsi="Tahoma" w:cs="Tahoma"/>
          <w:szCs w:val="22"/>
        </w:rPr>
        <w:t xml:space="preserve">fecting gist of the </w:t>
      </w:r>
      <w:r w:rsidR="00A75BC5">
        <w:rPr>
          <w:rFonts w:ascii="Tahoma" w:hAnsi="Tahoma" w:cs="Tahoma"/>
          <w:szCs w:val="22"/>
        </w:rPr>
        <w:t>agreement</w:t>
      </w:r>
      <w:r w:rsidR="00A75BC5" w:rsidRPr="00E775BF">
        <w:rPr>
          <w:rFonts w:ascii="Tahoma" w:eastAsia="Tahoma" w:hAnsi="Tahoma" w:cs="Tahoma"/>
          <w:szCs w:val="22"/>
        </w:rPr>
        <w:t xml:space="preserve">, Ministry of </w:t>
      </w:r>
      <w:r w:rsidR="00A75BC5">
        <w:rPr>
          <w:rFonts w:ascii="Tahoma" w:eastAsia="Tahoma" w:hAnsi="Tahoma" w:cs="Tahoma"/>
          <w:szCs w:val="22"/>
        </w:rPr>
        <w:t xml:space="preserve">Foreign Affairs </w:t>
      </w:r>
      <w:r w:rsidR="00A75BC5" w:rsidRPr="003F436D">
        <w:rPr>
          <w:rFonts w:ascii="Tahoma" w:eastAsia="Tahoma" w:hAnsi="Tahoma" w:cs="Tahoma"/>
          <w:szCs w:val="22"/>
        </w:rPr>
        <w:t xml:space="preserve">is authorized to proceed </w:t>
      </w:r>
      <w:r w:rsidR="00A75BC5">
        <w:rPr>
          <w:rFonts w:ascii="Tahoma" w:eastAsia="Tahoma" w:hAnsi="Tahoma" w:cs="Tahoma"/>
          <w:szCs w:val="22"/>
        </w:rPr>
        <w:t>without having to submit to the cabinet for further consideration.</w:t>
      </w:r>
    </w:p>
    <w:p w:rsidR="00A75BC5" w:rsidRDefault="00A75BC5" w:rsidP="00A75BC5">
      <w:pPr>
        <w:pStyle w:val="a3"/>
        <w:numPr>
          <w:ilvl w:val="0"/>
          <w:numId w:val="4"/>
        </w:numPr>
        <w:spacing w:after="240"/>
        <w:jc w:val="thaiDistribute"/>
        <w:rPr>
          <w:rFonts w:ascii="Tahoma" w:eastAsiaTheme="minorHAnsi" w:hAnsi="Tahoma" w:cs="Tahoma"/>
          <w:szCs w:val="22"/>
        </w:rPr>
      </w:pPr>
      <w:r>
        <w:rPr>
          <w:rFonts w:ascii="Tahoma" w:eastAsia="Tahoma" w:hAnsi="Tahoma" w:cs="Tahoma"/>
          <w:szCs w:val="22"/>
        </w:rPr>
        <w:t xml:space="preserve">Approved for Minister of Foreign Affairs or a representative to be head of Thai delegation at the </w:t>
      </w:r>
      <w:r w:rsidRPr="00A75BC5">
        <w:rPr>
          <w:rFonts w:ascii="Tahoma" w:eastAsia="Tahoma" w:hAnsi="Tahoma" w:cs="Tahoma"/>
          <w:szCs w:val="22"/>
        </w:rPr>
        <w:t>2</w:t>
      </w:r>
      <w:r w:rsidRPr="00A75BC5">
        <w:rPr>
          <w:rFonts w:ascii="Tahoma" w:eastAsia="Tahoma" w:hAnsi="Tahoma" w:cs="Tahoma"/>
          <w:szCs w:val="22"/>
          <w:vertAlign w:val="superscript"/>
        </w:rPr>
        <w:t>nd</w:t>
      </w:r>
      <w:r>
        <w:rPr>
          <w:rFonts w:ascii="Tahoma" w:eastAsia="Tahoma" w:hAnsi="Tahoma" w:cs="Tahoma"/>
          <w:szCs w:val="22"/>
        </w:rPr>
        <w:t xml:space="preserve"> </w:t>
      </w:r>
      <w:r w:rsidRPr="00A75BC5">
        <w:rPr>
          <w:rFonts w:ascii="Tahoma" w:eastAsia="Tahoma" w:hAnsi="Tahoma" w:cs="Tahoma"/>
          <w:szCs w:val="22"/>
        </w:rPr>
        <w:t>IORA Blue Economy Ministerial Conference</w:t>
      </w:r>
      <w:r w:rsidR="004F34ED">
        <w:rPr>
          <w:rFonts w:ascii="Tahoma" w:eastAsia="Tahoma" w:hAnsi="Tahoma" w:cs="Tahoma"/>
          <w:szCs w:val="22"/>
        </w:rPr>
        <w:t xml:space="preserve">, and to endorse </w:t>
      </w:r>
      <w:r w:rsidR="004F34ED" w:rsidRPr="00CB0009">
        <w:rPr>
          <w:rFonts w:ascii="Tahoma" w:eastAsiaTheme="minorHAnsi" w:hAnsi="Tahoma" w:cs="Tahoma"/>
          <w:szCs w:val="22"/>
        </w:rPr>
        <w:t>Draft of the Jakarta Declaration on Blue Economy</w:t>
      </w:r>
      <w:r w:rsidR="004F34ED">
        <w:rPr>
          <w:rFonts w:ascii="Tahoma" w:eastAsiaTheme="minorHAnsi" w:hAnsi="Tahoma" w:cs="Tahoma"/>
          <w:szCs w:val="22"/>
        </w:rPr>
        <w:t>.</w:t>
      </w:r>
    </w:p>
    <w:p w:rsidR="004F34ED" w:rsidRPr="004F34ED" w:rsidRDefault="004F34ED" w:rsidP="004F34ED">
      <w:pPr>
        <w:spacing w:after="240" w:line="276" w:lineRule="auto"/>
        <w:jc w:val="thaiDistribute"/>
        <w:rPr>
          <w:rFonts w:ascii="Tahoma" w:eastAsiaTheme="minorHAnsi" w:hAnsi="Tahoma" w:cs="Tahoma"/>
          <w:sz w:val="22"/>
          <w:szCs w:val="22"/>
        </w:rPr>
      </w:pPr>
      <w:r w:rsidRPr="004F34ED">
        <w:rPr>
          <w:rFonts w:ascii="Tahoma" w:eastAsiaTheme="minorHAnsi" w:hAnsi="Tahoma" w:cs="Tahoma"/>
          <w:sz w:val="22"/>
          <w:szCs w:val="22"/>
        </w:rPr>
        <w:t>The Jakarta Declaration involves regional cooperation on the marine economy under the Indian Ocean Rim Association</w:t>
      </w:r>
      <w:r>
        <w:rPr>
          <w:rFonts w:ascii="Tahoma" w:eastAsiaTheme="minorHAnsi" w:hAnsi="Tahoma" w:cs="Tahoma"/>
          <w:sz w:val="22"/>
          <w:szCs w:val="22"/>
        </w:rPr>
        <w:t xml:space="preserve"> (IORA)</w:t>
      </w:r>
      <w:r w:rsidRPr="004F34ED">
        <w:rPr>
          <w:rFonts w:ascii="Tahoma" w:eastAsiaTheme="minorHAnsi" w:hAnsi="Tahoma" w:cs="Tahoma"/>
          <w:sz w:val="22"/>
          <w:szCs w:val="22"/>
        </w:rPr>
        <w:t xml:space="preserve">. </w:t>
      </w:r>
    </w:p>
    <w:p w:rsidR="004F34ED" w:rsidRPr="004F34ED" w:rsidRDefault="004F34ED" w:rsidP="004F34ED">
      <w:pPr>
        <w:spacing w:after="240" w:line="276" w:lineRule="auto"/>
        <w:jc w:val="thaiDistribute"/>
        <w:rPr>
          <w:rFonts w:ascii="Tahoma" w:eastAsiaTheme="minorHAnsi" w:hAnsi="Tahoma" w:cs="Tahoma"/>
          <w:sz w:val="22"/>
          <w:szCs w:val="22"/>
        </w:rPr>
      </w:pPr>
      <w:r w:rsidRPr="004F34ED">
        <w:rPr>
          <w:rFonts w:ascii="Tahoma" w:eastAsiaTheme="minorHAnsi" w:hAnsi="Tahoma" w:cs="Tahoma"/>
          <w:sz w:val="22"/>
          <w:szCs w:val="22"/>
        </w:rPr>
        <w:t>The Declaration will cover a number of issues</w:t>
      </w:r>
      <w:r>
        <w:rPr>
          <w:rFonts w:ascii="Tahoma" w:eastAsiaTheme="minorHAnsi" w:hAnsi="Tahoma" w:cs="Tahoma"/>
          <w:sz w:val="22"/>
          <w:szCs w:val="22"/>
        </w:rPr>
        <w:t>,</w:t>
      </w:r>
      <w:r w:rsidRPr="004F34ED">
        <w:rPr>
          <w:rFonts w:ascii="Tahoma" w:eastAsiaTheme="minorHAnsi" w:hAnsi="Tahoma" w:cs="Tahoma"/>
          <w:sz w:val="22"/>
          <w:szCs w:val="22"/>
        </w:rPr>
        <w:t xml:space="preserve"> such as the development of the marine economy, regional funding mechanisms, research and conservation, as well as the promotion of local knowledge i</w:t>
      </w:r>
      <w:r>
        <w:rPr>
          <w:rFonts w:ascii="Tahoma" w:eastAsiaTheme="minorHAnsi" w:hAnsi="Tahoma" w:cs="Tahoma"/>
          <w:sz w:val="22"/>
          <w:szCs w:val="22"/>
        </w:rPr>
        <w:t>n marine resource management.</w:t>
      </w:r>
      <w:r w:rsidRPr="004F34ED">
        <w:rPr>
          <w:rFonts w:ascii="Tahoma" w:eastAsiaTheme="minorHAnsi" w:hAnsi="Tahoma" w:cs="Tahoma"/>
          <w:sz w:val="22"/>
          <w:szCs w:val="22"/>
        </w:rPr>
        <w:t xml:space="preserve"> The Declaration is expected to be endorsed by member states at a conference in Jakarta this week in which participating states will also discuss fishing and aqua</w:t>
      </w:r>
      <w:r>
        <w:rPr>
          <w:rFonts w:ascii="Tahoma" w:eastAsiaTheme="minorHAnsi" w:hAnsi="Tahoma" w:cs="Tahoma"/>
          <w:sz w:val="22"/>
          <w:szCs w:val="22"/>
        </w:rPr>
        <w:t>-</w:t>
      </w:r>
      <w:r w:rsidRPr="004F34ED">
        <w:rPr>
          <w:rFonts w:ascii="Tahoma" w:eastAsiaTheme="minorHAnsi" w:hAnsi="Tahoma" w:cs="Tahoma"/>
          <w:sz w:val="22"/>
          <w:szCs w:val="22"/>
        </w:rPr>
        <w:t>farming, aqua-tourism, port connectivity, customs networks, and handling plastic waste management in the Indian Ocean.</w:t>
      </w:r>
      <w:r>
        <w:rPr>
          <w:rFonts w:ascii="Tahoma" w:eastAsiaTheme="minorHAnsi" w:hAnsi="Tahoma" w:cs="Tahoma"/>
          <w:sz w:val="22"/>
          <w:szCs w:val="22"/>
        </w:rPr>
        <w:t xml:space="preserve"> </w:t>
      </w:r>
    </w:p>
    <w:p w:rsidR="00084352" w:rsidRDefault="00084352" w:rsidP="00AC519D">
      <w:pPr>
        <w:spacing w:line="276" w:lineRule="auto"/>
        <w:jc w:val="thaiDistribute"/>
        <w:rPr>
          <w:rFonts w:ascii="Tahoma" w:eastAsiaTheme="minorHAnsi" w:hAnsi="Tahoma" w:cs="Tahoma"/>
          <w:b/>
          <w:bCs/>
          <w:sz w:val="22"/>
          <w:szCs w:val="22"/>
        </w:rPr>
      </w:pPr>
    </w:p>
    <w:p w:rsidR="00084352" w:rsidRDefault="00084352" w:rsidP="00F277E2">
      <w:pPr>
        <w:spacing w:after="240" w:line="276" w:lineRule="auto"/>
        <w:jc w:val="thaiDistribute"/>
        <w:rPr>
          <w:rFonts w:ascii="Tahoma" w:eastAsiaTheme="minorHAnsi" w:hAnsi="Tahoma" w:cs="Tahoma"/>
          <w:b/>
          <w:bCs/>
          <w:sz w:val="22"/>
          <w:szCs w:val="22"/>
        </w:rPr>
      </w:pPr>
      <w:r>
        <w:rPr>
          <w:rFonts w:ascii="Tahoma" w:eastAsiaTheme="minorHAnsi" w:hAnsi="Tahoma" w:cs="Tahoma"/>
          <w:b/>
          <w:bCs/>
          <w:sz w:val="22"/>
          <w:szCs w:val="22"/>
        </w:rPr>
        <w:t xml:space="preserve">Title: </w:t>
      </w:r>
      <w:r w:rsidR="00F277E2">
        <w:rPr>
          <w:rFonts w:ascii="Tahoma" w:eastAsiaTheme="minorHAnsi" w:hAnsi="Tahoma" w:cs="Tahoma"/>
          <w:b/>
          <w:bCs/>
          <w:sz w:val="22"/>
          <w:szCs w:val="22"/>
        </w:rPr>
        <w:t xml:space="preserve">Thailand’s ratification in </w:t>
      </w:r>
      <w:r w:rsidR="00F277E2" w:rsidRPr="00F277E2">
        <w:rPr>
          <w:rFonts w:ascii="Tahoma" w:eastAsiaTheme="minorHAnsi" w:hAnsi="Tahoma" w:cs="Tahoma"/>
          <w:b/>
          <w:bCs/>
          <w:sz w:val="22"/>
          <w:szCs w:val="22"/>
        </w:rPr>
        <w:t>the International Labor Organization’s convention No. 111 of 1958</w:t>
      </w:r>
    </w:p>
    <w:p w:rsidR="00F277E2" w:rsidRDefault="00F277E2" w:rsidP="00F277E2">
      <w:pPr>
        <w:spacing w:after="240" w:line="276" w:lineRule="auto"/>
        <w:jc w:val="thaiDistribute"/>
        <w:rPr>
          <w:rFonts w:ascii="Tahoma" w:eastAsiaTheme="minorHAnsi" w:hAnsi="Tahoma" w:cs="Tahoma"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</w:rPr>
        <w:t>The cabinet agreed on the proposals made by Ministry of Labor as follows:</w:t>
      </w:r>
    </w:p>
    <w:p w:rsidR="00F277E2" w:rsidRDefault="00F277E2" w:rsidP="00F277E2">
      <w:pPr>
        <w:pStyle w:val="a3"/>
        <w:numPr>
          <w:ilvl w:val="0"/>
          <w:numId w:val="5"/>
        </w:numPr>
        <w:spacing w:after="240"/>
        <w:jc w:val="thaiDistribute"/>
        <w:rPr>
          <w:rFonts w:ascii="Tahoma" w:eastAsiaTheme="minorHAnsi" w:hAnsi="Tahoma" w:cs="Tahoma"/>
          <w:szCs w:val="22"/>
        </w:rPr>
      </w:pPr>
      <w:r>
        <w:rPr>
          <w:rFonts w:ascii="Tahoma" w:eastAsiaTheme="minorHAnsi" w:hAnsi="Tahoma" w:cs="Tahoma"/>
          <w:szCs w:val="22"/>
        </w:rPr>
        <w:t xml:space="preserve">Agreed with </w:t>
      </w:r>
      <w:r w:rsidRPr="00F277E2">
        <w:rPr>
          <w:rFonts w:ascii="Tahoma" w:eastAsiaTheme="minorHAnsi" w:hAnsi="Tahoma" w:cs="Tahoma"/>
          <w:szCs w:val="22"/>
        </w:rPr>
        <w:t>Thailand’s ratification in the International Labor Organization’s convention No. 111 of 1958</w:t>
      </w:r>
      <w:r>
        <w:rPr>
          <w:rFonts w:ascii="Tahoma" w:eastAsiaTheme="minorHAnsi" w:hAnsi="Tahoma" w:cs="Tahoma"/>
          <w:szCs w:val="22"/>
        </w:rPr>
        <w:t>.</w:t>
      </w:r>
    </w:p>
    <w:p w:rsidR="00F277E2" w:rsidRDefault="00F277E2" w:rsidP="00F277E2">
      <w:pPr>
        <w:pStyle w:val="a3"/>
        <w:numPr>
          <w:ilvl w:val="0"/>
          <w:numId w:val="5"/>
        </w:numPr>
        <w:spacing w:after="240"/>
        <w:jc w:val="thaiDistribute"/>
        <w:rPr>
          <w:rFonts w:ascii="Tahoma" w:eastAsiaTheme="minorHAnsi" w:hAnsi="Tahoma" w:cs="Tahoma"/>
          <w:szCs w:val="22"/>
        </w:rPr>
      </w:pPr>
      <w:r>
        <w:rPr>
          <w:rFonts w:ascii="Tahoma" w:eastAsiaTheme="minorHAnsi" w:hAnsi="Tahoma" w:cs="Tahoma"/>
          <w:szCs w:val="22"/>
        </w:rPr>
        <w:t xml:space="preserve">Assigned Ministry of Foreign Affairs to prepare for </w:t>
      </w:r>
      <w:r w:rsidR="0029428A">
        <w:rPr>
          <w:rFonts w:ascii="Tahoma" w:eastAsiaTheme="minorHAnsi" w:hAnsi="Tahoma" w:cs="Tahoma"/>
          <w:szCs w:val="22"/>
        </w:rPr>
        <w:t>the instrument of</w:t>
      </w:r>
      <w:r w:rsidRPr="00F277E2">
        <w:rPr>
          <w:rFonts w:ascii="Tahoma" w:eastAsiaTheme="minorHAnsi" w:hAnsi="Tahoma" w:cs="Tahoma"/>
          <w:szCs w:val="22"/>
        </w:rPr>
        <w:t xml:space="preserve"> ratification</w:t>
      </w:r>
      <w:r>
        <w:rPr>
          <w:rFonts w:ascii="Tahoma" w:eastAsiaTheme="minorHAnsi" w:hAnsi="Tahoma" w:cs="Tahoma"/>
          <w:szCs w:val="22"/>
        </w:rPr>
        <w:t xml:space="preserve"> </w:t>
      </w:r>
      <w:r w:rsidR="00E01F6F">
        <w:rPr>
          <w:rFonts w:ascii="Tahoma" w:eastAsiaTheme="minorHAnsi" w:hAnsi="Tahoma" w:cs="Tahoma"/>
          <w:szCs w:val="22"/>
        </w:rPr>
        <w:t>of</w:t>
      </w:r>
      <w:r>
        <w:rPr>
          <w:rFonts w:ascii="Tahoma" w:eastAsiaTheme="minorHAnsi" w:hAnsi="Tahoma" w:cs="Tahoma"/>
          <w:szCs w:val="22"/>
        </w:rPr>
        <w:t xml:space="preserve"> the aforementioned convention.</w:t>
      </w:r>
    </w:p>
    <w:p w:rsidR="00F277E2" w:rsidRDefault="00F277E2" w:rsidP="0029428A">
      <w:pPr>
        <w:pStyle w:val="a3"/>
        <w:numPr>
          <w:ilvl w:val="0"/>
          <w:numId w:val="5"/>
        </w:numPr>
        <w:spacing w:after="240"/>
        <w:jc w:val="thaiDistribute"/>
        <w:rPr>
          <w:rFonts w:ascii="Tahoma" w:eastAsiaTheme="minorHAnsi" w:hAnsi="Tahoma" w:cs="Tahoma"/>
          <w:szCs w:val="22"/>
        </w:rPr>
      </w:pPr>
      <w:r>
        <w:rPr>
          <w:rFonts w:ascii="Tahoma" w:eastAsiaTheme="minorHAnsi" w:hAnsi="Tahoma" w:cs="Tahoma"/>
          <w:szCs w:val="22"/>
        </w:rPr>
        <w:t xml:space="preserve">Approved for Ministry of Labor to </w:t>
      </w:r>
      <w:r w:rsidR="0029428A">
        <w:rPr>
          <w:rFonts w:ascii="Tahoma" w:eastAsiaTheme="minorHAnsi" w:hAnsi="Tahoma" w:cs="Tahoma"/>
          <w:szCs w:val="22"/>
        </w:rPr>
        <w:t>deposit</w:t>
      </w:r>
      <w:r w:rsidR="0029428A" w:rsidRPr="0029428A">
        <w:rPr>
          <w:rFonts w:ascii="Tahoma" w:eastAsiaTheme="minorHAnsi" w:hAnsi="Tahoma" w:cs="Tahoma"/>
          <w:szCs w:val="22"/>
        </w:rPr>
        <w:t xml:space="preserve"> th</w:t>
      </w:r>
      <w:r w:rsidR="0029428A">
        <w:rPr>
          <w:rFonts w:ascii="Tahoma" w:eastAsiaTheme="minorHAnsi" w:hAnsi="Tahoma" w:cs="Tahoma"/>
          <w:szCs w:val="22"/>
        </w:rPr>
        <w:t>e instrument of ratification</w:t>
      </w:r>
      <w:r w:rsidR="00E01F6F">
        <w:rPr>
          <w:rFonts w:ascii="Tahoma" w:eastAsiaTheme="minorHAnsi" w:hAnsi="Tahoma" w:cs="Tahoma"/>
          <w:szCs w:val="22"/>
        </w:rPr>
        <w:t xml:space="preserve"> of the aforementioned convention.</w:t>
      </w:r>
    </w:p>
    <w:p w:rsidR="001B020D" w:rsidRPr="001B020D" w:rsidRDefault="001B020D" w:rsidP="001B020D">
      <w:pPr>
        <w:spacing w:after="240" w:line="276" w:lineRule="auto"/>
        <w:jc w:val="thaiDistribute"/>
        <w:rPr>
          <w:rFonts w:ascii="Tahoma" w:eastAsiaTheme="minorHAnsi" w:hAnsi="Tahoma" w:cs="Tahoma"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</w:rPr>
        <w:t xml:space="preserve">ILO </w:t>
      </w:r>
      <w:r w:rsidRPr="001B020D">
        <w:rPr>
          <w:rFonts w:ascii="Tahoma" w:eastAsiaTheme="minorHAnsi" w:hAnsi="Tahoma" w:cs="Tahoma"/>
          <w:sz w:val="22"/>
          <w:szCs w:val="22"/>
        </w:rPr>
        <w:t>Convention No. 111 puts emphasis on equality in the work place, such as equal access to career/vocational guidance services, skill-set enhancement, employment stability, and non-di</w:t>
      </w:r>
      <w:r>
        <w:rPr>
          <w:rFonts w:ascii="Tahoma" w:eastAsiaTheme="minorHAnsi" w:hAnsi="Tahoma" w:cs="Tahoma"/>
          <w:sz w:val="22"/>
          <w:szCs w:val="22"/>
        </w:rPr>
        <w:t>scrimination in the work place.</w:t>
      </w:r>
    </w:p>
    <w:p w:rsidR="001B020D" w:rsidRPr="001B020D" w:rsidRDefault="001B020D" w:rsidP="001B020D">
      <w:pPr>
        <w:spacing w:after="240" w:line="276" w:lineRule="auto"/>
        <w:jc w:val="thaiDistribute"/>
        <w:rPr>
          <w:rFonts w:ascii="Tahoma" w:eastAsiaTheme="minorHAnsi" w:hAnsi="Tahoma" w:cs="Tahoma"/>
          <w:sz w:val="22"/>
          <w:szCs w:val="22"/>
        </w:rPr>
      </w:pPr>
      <w:r w:rsidRPr="001B020D">
        <w:rPr>
          <w:rFonts w:ascii="Tahoma" w:eastAsiaTheme="minorHAnsi" w:hAnsi="Tahoma" w:cs="Tahoma"/>
          <w:sz w:val="22"/>
          <w:szCs w:val="22"/>
        </w:rPr>
        <w:t>The ratification confirms Thailand’s commitment to ensure equality, as well as to improve working and living conditions for workers in accordance with international labor standards</w:t>
      </w:r>
      <w:r>
        <w:rPr>
          <w:rFonts w:ascii="Tahoma" w:eastAsiaTheme="minorHAnsi" w:hAnsi="Tahoma" w:cs="Tahoma"/>
          <w:sz w:val="22"/>
          <w:szCs w:val="22"/>
        </w:rPr>
        <w:t>.</w:t>
      </w:r>
    </w:p>
    <w:p w:rsidR="001B020D" w:rsidRDefault="001B020D" w:rsidP="00AC519D">
      <w:pPr>
        <w:tabs>
          <w:tab w:val="left" w:pos="1440"/>
          <w:tab w:val="left" w:pos="2160"/>
          <w:tab w:val="left" w:pos="2880"/>
        </w:tabs>
        <w:spacing w:line="276" w:lineRule="auto"/>
        <w:jc w:val="thaiDistribute"/>
        <w:rPr>
          <w:rFonts w:ascii="Tahoma" w:eastAsiaTheme="minorHAnsi" w:hAnsi="Tahoma" w:cs="Tahoma"/>
          <w:sz w:val="22"/>
          <w:szCs w:val="22"/>
        </w:rPr>
      </w:pPr>
    </w:p>
    <w:p w:rsidR="00AC519D" w:rsidRDefault="001B020D" w:rsidP="00AC519D">
      <w:pPr>
        <w:tabs>
          <w:tab w:val="left" w:pos="1440"/>
          <w:tab w:val="left" w:pos="2160"/>
          <w:tab w:val="left" w:pos="2880"/>
        </w:tabs>
        <w:spacing w:line="276" w:lineRule="auto"/>
        <w:jc w:val="thaiDistribute"/>
        <w:rPr>
          <w:rFonts w:ascii="Tahoma" w:eastAsiaTheme="minorHAnsi" w:hAnsi="Tahoma" w:cs="Tahoma"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</w:rPr>
        <w:t>----------------------------------------------------------------------</w:t>
      </w:r>
    </w:p>
    <w:p w:rsidR="001B020D" w:rsidRDefault="001B020D" w:rsidP="00AC519D">
      <w:pPr>
        <w:tabs>
          <w:tab w:val="left" w:pos="1440"/>
          <w:tab w:val="left" w:pos="2160"/>
          <w:tab w:val="left" w:pos="2880"/>
        </w:tabs>
        <w:spacing w:line="276" w:lineRule="auto"/>
        <w:jc w:val="thaiDistribute"/>
        <w:rPr>
          <w:rFonts w:ascii="Tahoma" w:eastAsiaTheme="minorHAnsi" w:hAnsi="Tahoma" w:cs="Tahoma"/>
          <w:sz w:val="22"/>
          <w:szCs w:val="22"/>
        </w:rPr>
      </w:pPr>
    </w:p>
    <w:p w:rsidR="00A27CF6" w:rsidRPr="00EE2DD8" w:rsidRDefault="00F82C55" w:rsidP="00EE2DD8">
      <w:pPr>
        <w:spacing w:line="276" w:lineRule="auto"/>
        <w:rPr>
          <w:rFonts w:ascii="Tahoma" w:hAnsi="Tahoma" w:cs="Tahoma" w:hint="cs"/>
          <w:sz w:val="22"/>
          <w:szCs w:val="22"/>
        </w:rPr>
      </w:pPr>
      <w:bookmarkStart w:id="0" w:name="_GoBack"/>
      <w:bookmarkEnd w:id="0"/>
    </w:p>
    <w:sectPr w:rsidR="00A27CF6" w:rsidRPr="00EE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DE2"/>
    <w:multiLevelType w:val="hybridMultilevel"/>
    <w:tmpl w:val="3B4C6026"/>
    <w:lvl w:ilvl="0" w:tplc="2C926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5809C3"/>
    <w:multiLevelType w:val="hybridMultilevel"/>
    <w:tmpl w:val="43AA4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818C2"/>
    <w:multiLevelType w:val="hybridMultilevel"/>
    <w:tmpl w:val="0438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E11C8"/>
    <w:multiLevelType w:val="hybridMultilevel"/>
    <w:tmpl w:val="9302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41493"/>
    <w:multiLevelType w:val="hybridMultilevel"/>
    <w:tmpl w:val="DF0C8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D8"/>
    <w:rsid w:val="00084352"/>
    <w:rsid w:val="001B020D"/>
    <w:rsid w:val="00224799"/>
    <w:rsid w:val="0029428A"/>
    <w:rsid w:val="00395D38"/>
    <w:rsid w:val="003F436D"/>
    <w:rsid w:val="004A4596"/>
    <w:rsid w:val="004B0570"/>
    <w:rsid w:val="004F34ED"/>
    <w:rsid w:val="005C4F8E"/>
    <w:rsid w:val="005F4E0B"/>
    <w:rsid w:val="00672637"/>
    <w:rsid w:val="008A792D"/>
    <w:rsid w:val="00953A01"/>
    <w:rsid w:val="00A75BC5"/>
    <w:rsid w:val="00AC519D"/>
    <w:rsid w:val="00BB0BA7"/>
    <w:rsid w:val="00CB0009"/>
    <w:rsid w:val="00E01F6F"/>
    <w:rsid w:val="00EE2DD8"/>
    <w:rsid w:val="00F277E2"/>
    <w:rsid w:val="00F82C55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D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2DD8"/>
  </w:style>
  <w:style w:type="paragraph" w:styleId="a3">
    <w:name w:val="List Paragraph"/>
    <w:basedOn w:val="a"/>
    <w:link w:val="a4"/>
    <w:uiPriority w:val="34"/>
    <w:qFormat/>
    <w:rsid w:val="00EE2DD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4">
    <w:name w:val="รายการย่อหน้า อักขระ"/>
    <w:link w:val="a3"/>
    <w:uiPriority w:val="34"/>
    <w:locked/>
    <w:rsid w:val="00EE2DD8"/>
    <w:rPr>
      <w:rFonts w:ascii="Calibri" w:eastAsia="Calibri" w:hAnsi="Calibri" w:cs="Angsana New"/>
    </w:rPr>
  </w:style>
  <w:style w:type="paragraph" w:customStyle="1" w:styleId="xmsonormal">
    <w:name w:val="x_msonormal"/>
    <w:basedOn w:val="a"/>
    <w:rsid w:val="00EE2DD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D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2DD8"/>
  </w:style>
  <w:style w:type="paragraph" w:styleId="a3">
    <w:name w:val="List Paragraph"/>
    <w:basedOn w:val="a"/>
    <w:link w:val="a4"/>
    <w:uiPriority w:val="34"/>
    <w:qFormat/>
    <w:rsid w:val="00EE2DD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4">
    <w:name w:val="รายการย่อหน้า อักขระ"/>
    <w:link w:val="a3"/>
    <w:uiPriority w:val="34"/>
    <w:locked/>
    <w:rsid w:val="00EE2DD8"/>
    <w:rPr>
      <w:rFonts w:ascii="Calibri" w:eastAsia="Calibri" w:hAnsi="Calibri" w:cs="Angsana New"/>
    </w:rPr>
  </w:style>
  <w:style w:type="paragraph" w:customStyle="1" w:styleId="xmsonormal">
    <w:name w:val="x_msonormal"/>
    <w:basedOn w:val="a"/>
    <w:rsid w:val="00EE2DD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sareerom</dc:creator>
  <cp:lastModifiedBy>Administrator</cp:lastModifiedBy>
  <cp:revision>2</cp:revision>
  <dcterms:created xsi:type="dcterms:W3CDTF">2017-05-10T10:29:00Z</dcterms:created>
  <dcterms:modified xsi:type="dcterms:W3CDTF">2017-05-10T10:29:00Z</dcterms:modified>
</cp:coreProperties>
</file>