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C25EA">
        <w:rPr>
          <w:rFonts w:ascii="TH SarabunPSK" w:hAnsi="TH SarabunPSK" w:cs="TH SarabunPSK"/>
          <w:sz w:val="32"/>
          <w:szCs w:val="32"/>
        </w:rPr>
        <w:t xml:space="preserve">9 </w:t>
      </w:r>
      <w:r w:rsidR="003C25E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06398B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594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ร่างกฎกระทรวงกำหนดมาตรฐานสินค้าเกษตรสำหรับหลักปฏิบัติในการตรวจและ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รับผลทุเรียน สำหรับโรงรวบรวมและโรงคัดบรรจุเป็นมาตรฐานบังคับ พ.ศ. ....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ร่างกฎกระทรวงยกเลิกกฎกระทรวง ฉบับที่ 6 (พ.ศ. 2515) ออกตามความใน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พระราชบัญญัติควบคุมการก่อสร้างอาคาร พุทธศักราช 2479 พ.ศ. ....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ร่างกฎกระทรวงมิให้ใช้บังคับกฎหมายว่าด้วยการคุ้มครองแรงงานบางส่วนแก่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นายจ้าง ซึ่งจ้างลูกจ้างทำงานเกี่ยวกับงานบ้านอันมิได้มีการประกอบธุรกิจรวมอยู่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ด้วย พ.ศ. ....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ร่างประกาศกระทรวงสาธารณสุข เรื่อง อัตราค่าใช้จ่ายสูงสุดที่จะจัดเก็บจากผู้ยื่น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คำขอในกระบวนการพิจารณาอนุญาตผลิตภัณฑ์เครื่องมือแพทย์ พ.ศ.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ประกาศกระทรวงสาธารณสุข เรื่อง อัตราค่าขึ้นบัญชีสูงสุดที่จะจัดเก็บจาก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ผู้เชี่ยวชาญ องค์กรผู้เชี่ยวชาญ หน่วยงานของรัฐ หรือองค์กรเอกชน ทั้งในประเทศ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และต่างประเทศ ที่ทำหน้าที่ในการประเมินเอกสารทางวิชาการ การตรวจ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วิเคราะห์ การตรวจสถานประกอบการ หรือการตรวจสอบผลิตภัณฑ์เครื่องมือ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แพทย์ พ.ศ. ..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รวม 2 ฉบับ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820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9B4260">
        <w:rPr>
          <w:rFonts w:ascii="TH SarabunPSK" w:eastAsia="Calibri" w:hAnsi="TH SarabunPSK" w:cs="TH SarabunPSK"/>
          <w:sz w:val="32"/>
          <w:szCs w:val="32"/>
          <w:cs/>
        </w:rPr>
        <w:tab/>
        <w:t>แผนการใช้จ่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ายเงินกองทุนส่งเสริมการค้าระหว่างประเทศ ปีงบประมาณ 2567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(แผนปฏิบัติการประจำปี 2567)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รายงานภาวะเศรษฐกิจอุตสาหกรรมไตรมาสที่ 4/2566 และแนวโน้มไตรมาสที่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1/2567 และรายงานภาวะเศรษฐกิจอุตสาหกรรมประจำเดือนมกราคม 2567   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รายงานภาวะและแนวโน้มเศรษฐกิจไทยประจำไตรมาสที่ 4 ปี 2566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ผลการประชุมคณะกรรมการบริหารสถานการณ์ฉุกเฉิน ครั้งที่ 2/2567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ข้อเสนอแนะเพื่อป้องกันการทุจริตเกี่ยวกับนโยบายรัฐบาล กรณีการเติมเงิน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10,000 บาท ผ่าน </w:t>
      </w:r>
      <w:r w:rsidRPr="00010390">
        <w:rPr>
          <w:rFonts w:ascii="TH SarabunPSK" w:eastAsia="Calibri" w:hAnsi="TH SarabunPSK" w:cs="TH SarabunPSK"/>
          <w:sz w:val="32"/>
          <w:szCs w:val="32"/>
        </w:rPr>
        <w:t>Digital Wallet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ขออนุมัติงบประมาณสำหรับงานหลักประกันสุขภาพแห่งชาติ ประจำปี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พ.ศ. 2568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4260">
        <w:rPr>
          <w:rFonts w:ascii="TH SarabunPSK" w:eastAsia="Calibri" w:hAnsi="TH SarabunPSK" w:cs="TH SarabunPSK" w:hint="cs"/>
          <w:sz w:val="32"/>
          <w:szCs w:val="32"/>
          <w:cs/>
        </w:rPr>
        <w:t>ขอรับการจัดส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รรงบประมาณรายจ่ายประจำปีงบประมาณ พ.ศ. 2566 ไปพลาง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ก่อน งบกลาง รายการเงินสำรองจ่ายเพื่อกรณีฉุกเฉินหรือจำเป็น หรืองบประมาณ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รายจ่ายประจำปีงบประมาณ พ.ศ. 2567 งบกลาง รายการเงินสำรองจ่ายเพื่อกรณี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ฉุกเฉินหรือจำเป็น แล้วแต่กรณี สำหรับจ้างเหมาบริการนักการภารโรง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การทบทวนวงเงินงบประมาณรายจ่ายประจำปีงบประมาณ พ.ศ. 2568 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การปรับปรุงปฏิทินงบประมาณรายจ่ายประจำปีงบประมาณ พ.ศ. 2568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820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E5C72" w:rsidRPr="00010390" w:rsidRDefault="00010390" w:rsidP="00FE5C7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="00FE5C72" w:rsidRPr="000103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ผลการประชุมคณะกรรมการร่วมสำหรับความตกลงว่าด้วยการขนส่งข้ามพรมแดน</w:t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E5C72" w:rsidRPr="00010390">
        <w:rPr>
          <w:rFonts w:ascii="TH SarabunPSK" w:eastAsia="Calibri" w:hAnsi="TH SarabunPSK" w:cs="TH SarabunPSK"/>
          <w:sz w:val="32"/>
          <w:szCs w:val="32"/>
          <w:cs/>
        </w:rPr>
        <w:tab/>
        <w:t>ในอนุภูมิภาคลุ่มแม่น้ำโขง ระดับรัฐมนตรี ครั้งที่ 8</w:t>
      </w:r>
    </w:p>
    <w:p w:rsidR="00010390" w:rsidRPr="00010390" w:rsidRDefault="00FE5C72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การนำเสนอแหล่งมรดกทางวัฒนธรรม 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สงขลา และชุมชนที่เกี่ยวเนื่องริม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ab/>
        <w:t>ทะเลสาบสงขลา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เข้าสู่บัญชีราย</w:t>
      </w:r>
      <w:r w:rsidR="00010390" w:rsidRPr="00010390">
        <w:rPr>
          <w:rFonts w:ascii="TH SarabunPSK" w:eastAsia="Calibri" w:hAnsi="TH SarabunPSK" w:cs="TH SarabunPSK" w:hint="cs"/>
          <w:sz w:val="32"/>
          <w:szCs w:val="32"/>
          <w:cs/>
        </w:rPr>
        <w:t>ชื่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อเบื้องต้น (</w:t>
      </w:r>
      <w:r w:rsidR="00010390" w:rsidRPr="00010390">
        <w:rPr>
          <w:rFonts w:ascii="TH SarabunPSK" w:eastAsia="Calibri" w:hAnsi="TH SarabunPSK" w:cs="TH SarabunPSK"/>
          <w:sz w:val="32"/>
          <w:szCs w:val="32"/>
        </w:rPr>
        <w:t>Tentative List</w:t>
      </w:r>
      <w:r w:rsidR="00010390" w:rsidRPr="00010390">
        <w:rPr>
          <w:rFonts w:ascii="TH SarabunPSK" w:eastAsia="Calibri" w:hAnsi="TH SarabunPSK" w:cs="TH SarabunPSK"/>
          <w:sz w:val="32"/>
          <w:szCs w:val="32"/>
          <w:cs/>
        </w:rPr>
        <w:t>) ของศูนย์มรดกโลก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16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ร่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งถ้อยแถลงร่วมระหว่างนายกรัฐมนตรีและนายกรัฐมนตรีนิวซีแลนด์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17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ร่างบันทึกการประชุมคณะกรรมาธิการร่วมว่าด้วยความร่วมมือทวิภาคีไทย -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เวียดนาม ครั้งที่ 5</w:t>
      </w:r>
    </w:p>
    <w:p w:rsidR="00010390" w:rsidRPr="00010390" w:rsidRDefault="00010390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18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การขอยกเว้นการยื</w:t>
      </w:r>
      <w:r w:rsidRPr="0001039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  <w:t>หรือออกไปนอกราชอาณาจักร (แบบ ตม.6)</w:t>
      </w:r>
    </w:p>
    <w:p w:rsidR="00010390" w:rsidRPr="00010390" w:rsidRDefault="00010390" w:rsidP="0001039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10390" w:rsidRPr="00010390" w:rsidTr="00010390">
        <w:tc>
          <w:tcPr>
            <w:tcW w:w="9594" w:type="dxa"/>
          </w:tcPr>
          <w:p w:rsidR="00010390" w:rsidRPr="00010390" w:rsidRDefault="00010390" w:rsidP="0001039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03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10390" w:rsidRDefault="00010390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0390">
        <w:rPr>
          <w:rFonts w:ascii="TH SarabunPSK" w:eastAsia="Calibri" w:hAnsi="TH SarabunPSK" w:cs="TH SarabunPSK"/>
          <w:sz w:val="32"/>
          <w:szCs w:val="32"/>
        </w:rPr>
        <w:tab/>
      </w:r>
      <w:r w:rsidRPr="00010390">
        <w:rPr>
          <w:rFonts w:ascii="TH SarabunPSK" w:eastAsia="Calibri" w:hAnsi="TH SarabunPSK" w:cs="TH SarabunPSK"/>
          <w:sz w:val="32"/>
          <w:szCs w:val="32"/>
        </w:rPr>
        <w:tab/>
        <w:t>19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529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การแต่งตั้งคณะกรรมการบริหารกองทุนตามพระราชบัญญัติอ้อยและน้ำตาลทราย </w:t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03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952906">
        <w:rPr>
          <w:rFonts w:ascii="TH SarabunPSK" w:eastAsia="Calibri" w:hAnsi="TH SarabunPSK" w:cs="TH SarabunPSK" w:hint="cs"/>
          <w:sz w:val="32"/>
          <w:szCs w:val="32"/>
          <w:cs/>
        </w:rPr>
        <w:t xml:space="preserve"> 2527</w:t>
      </w:r>
      <w:r w:rsidRPr="00952906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010390" w:rsidRPr="00010390" w:rsidRDefault="00010390" w:rsidP="002D26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0390" w:rsidRPr="00010390" w:rsidRDefault="00010390" w:rsidP="0001039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10390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  <w:r>
        <w:rPr>
          <w:rFonts w:ascii="TH SarabunPSK" w:hAnsi="TH SarabunPSK" w:cs="TH SarabunPSK"/>
          <w:sz w:val="32"/>
          <w:szCs w:val="32"/>
          <w:cs/>
        </w:rPr>
        <w:t>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36801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ร่างกฎกระทรวงกำหนดมาตรฐานสินค้าเกษตรสำหรับหลักปฏิบัติในการตรวจและรับผลทุเรียน สำหรับโรงรวบรวมและโรงคัดบรรจุเป็นมาตรฐานบังคับ พ.ศ. ....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หลักการร่างกฎกระทรวงกำหนดมาตรฐานสินค้าเกษตรสำหรับหลักปฏิบัติในการตรวจและรับผลทุเรียนสำหรับโรงรวบรวมและโรงคัดบรรจุ เป็นมาตรฐานบังคับ พ.ศ.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ตามที่กระทรวงเกษตรและสหกรณ์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(กษ.)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ให้กระทรวงเกษตรและสหกรณ์รับความเห็นของกระทรวงพาณิชย์ กระทรวงอุตสาหกรรม และสำนักงานพัฒนาการเศรษฐกิจและสังคมแห่งชาติไปพิจารณาดำเนินการต่อไปด้วย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กษ.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ทุเรียนเป็นผลไม้ที่มีความสำคัญทางเศรษฐกิจที่ประเทศไทยผลิตและส่งออกสูงแต่มักพบปัญหาการเร่งตัดทุเรียนเพื่อการบริโภคสดก่อนถึงอายุเก็บเกี่ยว ทำให้ได้ทุเรียนไม่แก่ออกสู่ตลาด ส่งผลกระทบต่อความเชื่อมั่นของผู้บริโภคและทำลายสภาวะการค้าในภาพรวม ดังนั้น เพื่อให้มีหลักปฏิบัติที่เป็นมาตรฐาน จึงจำเป็นต้องมีหลักปฏิบัติสำหรับโรงรวบรวมและโรงคัดบรรจุทุเรียน เพื่อช่วยสนับสนุนการจำหน่ายผลทุเรียนที่แก่ มีคุณภาพตามมาตรฐาน สร้างความมั่นใจให้แก่ผู้บริโภคและเวทีการค้า ซึ่งเป็นการยกระดับคุณภาพของทุเรียนไทยเพื่อรองรับการแข่งขันที่สูงขึ้นในตลาดโลก กษ. โดยสำนักงานมาตรฐานสินค้าเกษตรและอาหารแห่งชาติ (มกอช.) จึงได้จัดทำร่างมาตรฐานสินค้าเกษตร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ตามพระราชบัญญัติมาตรฐานสินค้าเกษตร พ.ศ. 2551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 ในคราวประชุมคณะกรรมการมาตรฐานสินค้าเกษตร ครั้งที่ 4/2565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เมื่อวันที่ 23 พฤศจิกายน 2565 ได้มีมติเห็นชอบร่างมาตรฐานสินค้าเกษตร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และเห็นชอบกำหนดให้มาตรฐานดังกล่าวเป็นมาตรฐานบังคับ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กษ. ได้นำร่างมาตรฐานสินค้าเกษตร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มาดำเนินการรับฟังความคิดเห็นจากผู้มีส่วนได้เสีย เพื่อเป็นการรับฟังความคิดเห็นก่อนออกกฎกระทรวงกำหนดมาตรฐานบังคับต่อไป ตามมาตรา 15 วรรคสอง และมาตรา 18 แห่งพระราชบัญญัติมาตรฐานสินค้าเกษตร พ.ศ. 2551 ซึ่งบัญญัติให้เมื่อคณะกรรมการมาตรฐานสินค้าเกษตรเห็นด้วยกับรายละเอียดของร่างมาตรฐานสำหรับสินค้าเกษตรใดและกำหนดให้เป็นมาตรฐานบังคับ ให้คณะกรรมการมาตรฐานสินค้าเกษตรเสนอต่อรัฐมนตรีว่าการกระทรวงเกษตรและสหกรณ์เพื่อออกกฎกระทรวงกำหนดมาตรฐานสำหรับสินค้าเกษตรนั้นเป็นมาตรฐานบังคับ โดยก่อนออกกฎกระทรวงกำหนดมาตรฐานบังคับ ให้ มกอช. จัดให้มีการรับฟังความคิดเห็นของตัวแทนกลุ่มผู้มีส่วนได้เสีย หรือผู้มีประโยชน์เกี่ยวข้อง หากคณะกรรมการมาตรฐานสินค้าเกษตรเห็นสมควรกำหนดให้เป็นมาตรฐานทั่วไปแล้ว ให้คณะกรรมการมาตรฐานสินค้าเกษตรเสนอต่อรัฐมนตรีว่าการกระทรวงเกษตรและสหกรณ์ออกประกาศกำหนดมาตรฐานสินค้าเกษตรเป็นมาตรฐานทั่วไป โดย มกอช. ได้นำร่างมาตรฐานสินค้าเกษตร เรื่อง หลักปฏิบัติในการตรวจและรับผลทุเรียนสำหรับโรงรวบรวมและโรงคัดบรรจุ เผยแพร่ลงบนเว็บไซต์ของสำนักงานมาตรฐานสินค้าเกษตรและอาหารแห่งชาติ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acfs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เว็บไซต์ระบบกลางทางกฎหมาย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law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เป็นเวลา 45 วัน และแจ้งเวียนประเทศสมาชิกองค์การการค้าโลก (</w:t>
      </w:r>
      <w:r w:rsidRPr="00C36801">
        <w:rPr>
          <w:rFonts w:ascii="TH SarabunPSK" w:eastAsia="Calibri" w:hAnsi="TH SarabunPSK" w:cs="TH SarabunPSK"/>
          <w:sz w:val="32"/>
          <w:szCs w:val="32"/>
        </w:rPr>
        <w:t>WTO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เป็นเวลา 60 วัน รวมทั้งจัดทำหนังสือถึงหน่วยงานที่เกี่ยวข้องและผู้ประกอบการ รวมจำนวน 233 หน่วยงาน มีผู้เข้าร่วมแสดงความคิดเห็นต่อร่างมาตรฐานสินค้าเกษตรดังกล่าว รวมจำนวนทั้งสิ้น 32 ราย เห็นด้วย 28 ราย และไม่เห็นด้วย 4 ราย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ในคราวประชุมคณะกรรมการมาตรฐานสินค้าเกษตร ครั้งที่ 2/2566 เมื่อวันที่ 21 มิถุนายน 2566 เห็นชอบกำหนดให้มาตรฐานสินค้าเกษตร เรื่อง หลักปฏิบัติในการตรวจและรับผลทุเรียนสำหรับโรงรวบรวมและโรงคัดบรรจุเป็นมาตรฐานบังคับ โดยให้ใช้บังคับเมื่อพ้นกำหนด 1 ปี นับแต่วันประกาศในราชกิจจานุเบกษา และเห็นชอบร่างกฎกระทรวงฯ โดยมอบ มกอช. จัดทำร่างประกาศกระทรวงเกษตรและสหกรณ์เสนอต่อรัฐมนตรีว่าการกระทรวงเกษตรและสหกรณ์เพื่อประกาศเป็นมาตรฐานทั่วไป (ส่งเสริมสินค้าเกษตรให้ได้มาตรฐาน) ก่อนดำเนินการออกกฎกระทรวงกำหนดเป็นมาตรฐานบังคับ (กำหนดให้สินค้าเกษตรต้องเป็นไปตามมาตรฐาน)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กำหนดให้มาตรฐานสินค้าเกษตร เลขที่ มกษ. 9070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2566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ตามประกาศกระทรวงเกษตรและสหกรณ์ เรื่อง กำหนดมาตรฐานสินค้าเกษตร : หลักปฏิบัติในการตรวจและรับผลทุเรียนสำหรับโรงรวบรวมและโรงคัด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บรรจุ ตามพระราชบัญญัติมาตรฐานสินค้าเกษตร พ.ศ. 2551 ลงวันที่ 12 กรกฎาคม 2566 เป็นมาตรฐานบังคับ เช่น ผู้ประกอบการโรงรวบรวมหรือโรงคัดบรรจุต้องมีมาตรการการตรวจสอบความแก่ของผลทุเรียน ก่อนรับเข้าสู่การจัดการ ต้องตรวจพินิจลักษณะภายนอกของผลทุเรียนทุกผลจากทุกรุ่น มีการคัดแยกผลทุเรียนที่ไม่ผ่านเกณฑ์ และทำการแยกไว้ต่างหากในบริเวณที่ติดป้ายบ่งบอกชัดเจน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ห้ามนำเข้าสู่การจัดการและห้ามนำไปจำหน่ายเพื่อบริโภคสดและต้องบันทึกข้อมูลการคัดแยก และการจัดการกับผลทุเรียนที่ไม่ผ่านเกณฑ์ไว้เป็นหลักฐาน มีการตรวจวิเคราะห์น้ำหนักเนื้อแห้งของทุเรียน ต้องตรวจสอบความแก่ของผลทุเรียน โดยนำผลทุเรียนที่ผ่านการคัดแยกแล้วว่าเป็นผลทุเรียนแก่มาตรวจวิเคราะห์น้ำหนักเนื้อแห้งของทุเรียน ซึ่งน้ำหนักจะต้องผ่านเกณฑ์ตามที่กำหนด ผู้ควบคุมการเก็บเกี่ยวต้องมีความรู้ความชำนาญ และมีหลักฐานแสดงว่าได้รับการฝึกอบรมและผ่านการทดสอบเรื่องการเก็บผลทุเรียนแก่หรือได้รับการประเมินความสามารถ โดยโรงรวบรวมหรือโรงคัดบรรจุหรือได้รับการฝึกอบรมและผ่านการทดสอบเรื่องการเก็บเกี่ยว ผลทุเรียนแก่จากหน่วยงานภาครัฐหรือหน่วยงานที่ภาครัฐให้ความเห็นชอบ โดยกฎกระทรวงนี้ ให้ใช้บังคับเมื่อพ้นกำหนด 1 ปีนับแต่วันประกาศในราชกิจจานุเบกษาเป็นต้นไป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พ.ศ. ....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พ.ศ. ....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 (สคก.) ตรวจพิจารณาแล้ว ตามที่กระทรวงมหาดไทย (มท.) เสนอ และให้ดำเนินการต่อไปได้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มท. เสนอว่ากฎกระทรวง ฉบั</w:t>
      </w:r>
      <w:r w:rsidR="008060FF">
        <w:rPr>
          <w:rFonts w:ascii="TH SarabunPSK" w:eastAsia="Calibri" w:hAnsi="TH SarabunPSK" w:cs="TH SarabunPSK"/>
          <w:sz w:val="32"/>
          <w:szCs w:val="32"/>
          <w:cs/>
        </w:rPr>
        <w:t>บที่ 6 (พ.ศ. 2515) ออกตามความใน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พระราชบัญญัติควบคุมการก่อสร้างอาคาร พุทธศักราช 2479 ซึ่งกำหนดให้ห้ามก่อสร้างอาคาร จำนวน </w:t>
      </w:r>
      <w:r w:rsidRPr="00C36801">
        <w:rPr>
          <w:rFonts w:ascii="TH SarabunPSK" w:eastAsia="Calibri" w:hAnsi="TH SarabunPSK" w:cs="TH SarabunPSK"/>
          <w:sz w:val="32"/>
          <w:szCs w:val="32"/>
        </w:rPr>
        <w:t>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ได้แก่ 1) โรงงานอุตสาหกรรม 2) อาคารพิเศษ 3) ห้องแถว 4) ตึกแถว (5) อาคารที่มีความสูงกว่า 172 เมตร และ 6) หอถังน้ำที่มีความสูงกว่า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18 เมตร ภายในเขตท้องที่บางแห่ง ในตำบลบางปูใหม่ ตำบลท้ายบ้าน และตำบลแพรกษา อำเภอเมืองสมุทรปราการ จังหวัดสมุทรปราการ โดยครอบคลุมพื้นที่เมืองโบราณและบริเวณโดยรอบ รวมพื้นที่ 4</w:t>
      </w:r>
      <w:r w:rsidRPr="00C36801">
        <w:rPr>
          <w:rFonts w:ascii="TH SarabunPSK" w:eastAsia="Calibri" w:hAnsi="TH SarabunPSK" w:cs="TH SarabunPSK"/>
          <w:sz w:val="32"/>
          <w:szCs w:val="32"/>
        </w:rPr>
        <w:t>,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100 ไร่ ประกอบด้วยที่ดินของเอกชน ที่ดินของเมืองโบราณ ที่ดินของการเคหะแห่งชาติ และที่ดินราชพัสดุในความครอบครองดูแลของกรมธนารักษ์ ด้วยข้อกำหนดตามกฎกระทรวง ฉบับที่ 6ฯ จึงส่งผลให้พื้นที่ในบริเวณดังกล่าวไม่สามารถดำเนินการพัฒนาพื้นที่เพื่อให้เกิดประโยชน์สูงสุดแก่พื้นที่บริเวณนี้และบริเวณโดยรอบได้ อีกทั้งปัจจุบันพื้นที่บริเวณดังกล่าวได้มีกฎกระทรวงให้ใช้บังคับผังเมืองรวมสมุทรปราการ พ.ศ. 2556 กำหนดการใช้ประโยชน์ที่ดินในบริเวณนี้แล้ว และคณะกรรมการควบคุมอาคาร ครั้งที่ 1509 - 22/2565 เมื่อวันที่ 1 กันยายน 2565 มีมติเห็นชอบด้วยแล้ว ดังนั้น มท. จึงยืนยันให้ดำเนินการร่างกฎกระทรวงดังกล่าว ที่ สคก. ตรวจพิจารณาแล้วต่อไป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ยกเลิกกฎกระทรวง ฉบับที่ 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(พ.ศ. 2515) ออกตามความในพระราชบัญญัติควบคุมการก่อสร้างอาคาร พุทธศักราช 2479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พ.ศ. ....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พ.ศ. .... ตามที่กระทรวงแรงงาน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(รง.)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กระทรวงแรงงานรับความเห็นของกระทรวงการพัฒนาสังคมและความมั่นคงของมนุษย์ไปพิจารณาดำเนินการต่อไปด้วย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รง.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ปัจจุบันได้มีกฎกระทรวง (พ.ศ. 2541) ออกตามความในพระราชบัญญัติคุ้มครองแรงงาน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พ.ศ. 2541 ซึ่งแก้ไขเพิ่มเติมโดยกฎกระทรวง ฉบับที่ 14 (พ.ศ. 2555) ออกตามความในพระราชบัญญัติคุ้มครองแรงงาน พ.ศ. 2541 ซึ่งออกโดยอาศัยอำนาจตามความในมาตรา 4 วรรคสอง แห่งพระราชบัญญัติคุ้มครองแรงงาน พ.ศ. 2541 มีสาระสำคัญเป็นการกำหนดไม่ให้นำบทบัญญัติบางส่วนในพระราชบัญญัติคุ้มครองแรงงาน พ.ศ. 2541 มาใช้บังคับกับนายจ้าง ซึ่งจ้างลูกจ้างทำงานเกี่ยวกับงานบ้านอันมิได้มีการประกอบธุรกิจรวมอยู่ด้วย โดยจะส่งผลให้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ลูกจ้างดังกล่าวได้รับการคุ้มครองตามกฎหมายว่าด้วยคุ้มครองแรงงานบางประการเท่านั้น ประกอบกับกฎกระทรวงดังกล่าวได้ใช้บังคับมาเป็นเวลานาน ส่งผลให้มีบทบัญญัติบางประการไม่สอดคล้องกับสภาพการจ้างและสภาพการทำงานของลูกจ้าง ที่ทำงานบ้านอันมิได้มีการประกอบธุรกิจรวมอยู่ด้วยในปัจจุบัน จึงมีความจำเป็นต้องมีการปรับปรุงกฎกระทรวงดังกล่าวเพื่อยกระดับมาตรฐานการคุ้มครองลูกจ้างทำงานบ้านให้เป็นมาตรฐานสากล ลดระดับความเหลื่อมล้ำของสังคม และสร้างโอกาสการเข้าถึงบริการของรัฐ รง. จึงได้ยกร่างกฎกระทรวงมิให้ใช้บังคับกฎหมายว่าด้วยการคุ้มครองแรงงานบางส่วนแก่นายจ้าง ซึ่งจ้างลูกจ้างทำงานเกี่ยวกับงานบ้านอันมิได้มีการประกอบธุรกิจรวมอยู่ด้วย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.... เพื่อขยายความคุ้มครองตามกฎหมายของลูกจ้างดังกล่าวเพิ่มเติม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2. รง. ได้จัดให้มีการรับฟังความคิดเห็นเกี่ยวกับร่างกฎกระทรวงในเรื่องนี้ ผ่านระบบกลางทางกฎหมาย (</w:t>
      </w:r>
      <w:r w:rsidRPr="00C36801">
        <w:rPr>
          <w:rFonts w:ascii="TH SarabunPSK" w:eastAsia="Calibri" w:hAnsi="TH SarabunPSK" w:cs="TH SarabunPSK"/>
          <w:sz w:val="32"/>
          <w:szCs w:val="32"/>
        </w:rPr>
        <w:t>www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law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go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</w:rPr>
        <w:t>th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) ระหว่างวันที่ 12 - 27 พฤษภาคม 2566 รวมทั้งจัดทำสรุปผลการรับฟังความคิดเห็นและรายงานการวิเคราะห์ผลกระทบที่อาจเกิดขึ้นจากกฎหมายด้วยแล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ร่างกฎกระทรวงในเรื่องนี้มีสาระสำคัญเป็นการแก้ไขเพิ่มเติมกฎกระทรวง (พ.ศ. 2541) ออกตามความในพระราชบัญญัติคุ้มครองแรงงาน พ.ศ. 2541 ซึ่งแก้ไขเพิ่มเติมโดยกฎกระทรวง ฉบับที่ 14 (พ.ศ. 2555) ออกตามความในพระราชบัญญัติคุ้มครองแรงงาน พ.ศ. 2541 เพื่อเพิ่มความคุ้มครองตามพระราชบัญญัติคุ้มครองแรงงาน พ.ศ. 2541 ให้แก่ลูกจ้างที่ทำงานบ้าน อันมิได้มีการประกอบธุรกิจรวมอยู่ด้วย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ให้นายจ้างประกาศเวลาทำงานปกติให้ลูกจ้างทราบ แต่วันหนึ่งต้องไม่เกิน 8 ชั่วโมง และเมื่อรวมเวลาทำงานทั้งสิ้นแล้วสัปดาห์หนึ่งต้องไม่เกิน 48 ชั่วโมง (มาตรา 23)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ให้นายจ้างจัดให้ลูกจ้างมีเวลาพักระหว่างการทำงานวันหนึ่งไม่น้อยกว่า 1 ชั่วโมง (มาตรา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27 วรรคหนึ่ง)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3. ให้ลูกจ้างมีสิทธิลาเพื่อกิจธุระอันจำเป็นได้ปีละไม่น้อยกว่า 3 วันทำงาน (มาตรา 34)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ห้ามมิให้นายจ้างให้ลูกจ้างซึ่งเป็นหญิงมีครรภ์ทำงานระหว่างเวลา 22.00 น. ถึงเวลา 06.00 น. ทำงานล่วงเวลา หรือทำงานในวันหยุด (มาตรา 39/1 วรรคหนึ่ง)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ให้ลูกจ้างซึ่งเป็นหญิงมีครรภ์มีสิทธิลาเพื่อคลอดบุตรครรภ์หนึ่งไม่เกิน 98 วัน (มาตรา 41)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ห้ามมิให้นายจ้างเลิกจ้างลูกจ้างซึ่งเป็นหญิงเพราะเหตุมีครรภ์ (มาตรา 43)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ให้นายจ้างแจ้งการจ้างและแจ้งการสิ้นสุดการจ้างลูกจ้างซึ่งเป็นเด็กอายุต่ำกว่า 18 ปี ต่อพนักงานตรวจแรงงาน (มาตรา 45 (1) (3) และวรรคสอง)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ให้ลูกจ้างซึ่งเป็นเด็กอายุต่ำกว่า 18 ปี มีสิทธิลาเพื่อเข้าประชุม สัมมนา รับการอบรม รับการฝึกหรือลาเพื่อการอื่น ซึ่งจัดโดยสถานศึกษาหรือหน่วยงานของรัฐหรือเอกชน และให้นายจ้างจ่ายค่าจ้างเท่ากับค่าจ้างในวันทำงานตลอดระยะเวลาที่ลา แต่ปีหนึ่งต้องไม่เกิน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30 วัน (มาตรา 52)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ห้นายจ้างจ่ายค่าจ้างให้แก่ลูกจ้างซึ่งเป็นหญิงในวันลาเพื่อคลอดบุตรเท่ากับค่าจ้างในวันทำงานตลอดระยะเวลาที่ลา แต่ไม่เกิน 45 วัน (มาตรา 59)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10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ห้ามมิให้นายจ้างหักค่าจ้าง ค่าล่วงเวลา ค่าทำงานในวันหยุด และค่าล่วงเวลาในวันหยุด เว้นแต่เป็นการหักตามที่กำหนดไว้ในพระราชบัญญัติคุ้มครองแรงงาน พ.ศ. 2541 (มาตรา 76)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ห้ามมิให้นายจ้างจ่ายค่าจ้างให้แก่ลูกจ้างน้อยกว่าอัตราค่าจ้างขั้นต่ำ (มาตรา 90)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010390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..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 2 ฉบับ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ในหลักการร่างประกาศกระทรวงสาธารณสุข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ประกอบการ หรือการตรวจสอบผลิตภัณฑ์เครื่องมือแพทย์ พ.ศ. ..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รวม 2 ฉบับ ตามที่กระทรวงสาธารณสุข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โดยให้รับข้อสังเกตของกระทรวงเกษตรและสหกรณ์ และสำนักงานคณะกรรมการกฤษฎีกาไปประกอบการพิจารณาด้วย แล้วดำเนินการต่อไปได้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ให้กระทรวงสาธารณสุขรับความเห็นของสำนักงานคณะกรรมการกฤษฎีกา และสำนักงบประมาณไปพิจารณาดำเนินการต่อไปด้วย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ได้มีประกาศกระทรวงสาธารณสุข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 2560 และประกาศกระทรวงสาธารณสุข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 ซึ่งออกโดยอาศัยอำนาจตามคำสั่งหัวหน้าคณะรักษาความสงบแห่งชาติที่ 77/2559 ลงวันที่ 27 ธันวาคม 2559 เรื่อง การเพิ่มประสิทธิภาพในกระบวนการพิจารณาอนุญาต ผลิตภัณฑ์สุขภาพ ซึ่งกำหนดกลไกในกระบวนการพิจารณาอนุญาตตามกฎหมายที่เกี่ยวกับการกำกับดูแลผลิตภัณฑ์สุขภาพที่มีขั้นตอนในการประเมินเอกสารทางวิชาการ การตรวจวิเคราะห์ การตรวจสถานประกอบการหรือการตรวจสอบ เพื่อให้การพิจารณาอนุญาตมีความรวดเร็วและมีประสิทธิภาพ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 ต่อมาพระราชบัญญัติเครื่องมือแพทย์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ได้มีผลใช้บังคับตั้งแต่วันที่ 1 พฤษภาคม พ</w:t>
      </w:r>
      <w:r w:rsidR="00DF200E">
        <w:rPr>
          <w:rFonts w:ascii="TH SarabunPSK" w:eastAsia="Calibri" w:hAnsi="TH SarabunPSK" w:cs="TH SarabunPSK"/>
          <w:sz w:val="32"/>
          <w:szCs w:val="32"/>
          <w:cs/>
        </w:rPr>
        <w:t xml:space="preserve">.ศ. 2562 ได้บัญญัติเพิ่มส่วนที่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1 กระบวนการพิจารณาอนุญาตผลิตภัณฑ์เครื่องมือแพทย์ไว้ในหมวด 2 แห่งพระราชบัญญัติเครื่องมือแพทย์ พ.ศ. 2551 โดยมาตรา 63 บัญญัติให้ประกาศที่ออกตามคำสั่งหัวหน้าคณะรักษาความสงบแห่งชาติ ที่ 77/2559 เรื่อง การเพิ่มประสิทธิภาพในกระบวนการพิจารณาอนุญาตผลิตภัณฑ์สุขภาพ ลงวันที่ 27 ธันวาคม พ.ศ. 2559 ในส่วนที่เกี่ยวกับเครื่องมือแพทย์ที่ใช้บังคับอยู่ในวันก่อนที่พระราชบัญญัตินี้ใช้บังคับ ให้นำมาใช้บังคับกับส่วนที่ 1 กระบวนการพิจารณาอนุญาตเครื่องมือแพทย์ ในหมวด 2 การจดทะเบียนสถานประกอบการ การขออนุญาต และการอนุญาต การแจ้งรายการละเอียด และการจดแจ้ง ได้เท่าที่ไม่ขัดหรือแย้งกับพระราชบัญญัติเครื่องมือแพทย์ พ.ศ. 2551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ซึ่งแก้ไขเพิ่มเติมโดยพระราชบัญญัติเครื่องมือแพทย์ (ฉบับที่ 2) พ.ศ. 2562 จนกว่าจะมีประกาศที่ออกตามพระราชบัญญัติเครื่องมือแพทย์ พ.ศ. 2551 และที่แก้ไขเพิ่มเติม ใช้บังคับ และเมื่อประกาศที่ออกตามพระราชบัญญัติดังกล่าวใช้บังคับแล้ว ให้ประกาศที่ออกตามคำสั่งหัวหน้าคณะรักษาความสงบแห่งชาติ ในส่วนที่เกี่ยวกับเครื่องมือแพทย์เป็นอันยกเลิก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ดังนั้น เพื่อดำเนินการให้เป็นไปตามบทบัญญัติมาตรา 35/4 แห่งพระราชบัญญัติเครื่องมือแพทย์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ซึ่งบัญญัติให้รัฐมนตรีกระทรวงสาธารณสุขโดยคำแนะนำของคณะกรรมการเครื่องมือแพทย์ มีอำนาจประกาศกำหนดอัตราค่าขึ้นบัญชีสูงสุดที่จะจัดเก็บจากผู้เชี่ยวชาญ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และประกาศกำหนดอัตราค่าใช้จ่ายสูงสุดที่จะจัดเก็บจากผู้ยื่นคำขอในกระบวนการพิจารณาอนุญาตเครื่องมือแพทย์ ทั้งนี้ อัตราค่าใช้จ่ายสูงสุด และอัตราค่าขึ้นบัญชีสูงสุด เมื่อได้รับความเห็นชอบจากคณะรัฐมนตรีแล้วให้ใช้บังคับได้ สธ. จึงได้ยกร่างประกาศกระทรวงสาธารณสุข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หรือการตรวจสอบผลิตภัณฑ์เครื่องมือแพทย์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.... เพื่อกำหนด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และกำหนดอัตราค่าขึ้นบัญชีสูงสุดที่จะจัดเก็บจากผู้เชี่ยวชาญ ฯลฯ โดยกำหนดอัตราค่าใช้จ่ายและอัตราค่าขึ้นบัญชียังคงเป็นอัตราเดิมตามประกาศกระทรวงสาธารณสุข ทั้ง 2 ฉบับตามข้อ 1 ในคราวประชุมคณะกรรมการเครื่องมือแพทย์ ครั้งที่ 1/2566 เมื่อวันที่ 25 สิงหาคม 2566 ที่ประชุมได้มีมติเห็นชอบร่างประกาศดังกล่าว รวม 2 ฉบับ แล้ว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สธ. ได้จัดให้มีการรับฟังความคิดเห็นเกี่ยวกับร่างประกาศดังกล่าว รวม 2 ฉบับ โดยได้จัดประชุมและรับฟังความคิดเห็นผ่านเว็บไซต์ของกองควบคุมเครื่องมือแพทย์ สำนักงาน คณะกรรมการอาหารและยา และ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ระบบกลางทางกฎหมาย และได้จัดทำสรุปผลการรับฟังความคิดเห็น และรายงานการวิเคราะห์ผลกระทบที่อาจเกิดขึ้นจากกฎหมาย รวมถึงเปิดเผยเอกสารดังกล่าวทางเว็บไซต์ดังกล่าว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 และวิเคราะห์ผลกระทบ พ.ศ. 2565 รวมทั้งได้ดำเนินการวิเคราะห์การกำหนดอัตราค่าธรรมเนียมตามร่างประกาศในเรื่องนี้ รวม 2 ฉบับ โดยพิจารณาถึงปัจจัยต้นทุนในการดำเนินการ ภาระหรือผลกระทบที่เกิดขึ้นต่อประชาชน และประโยชน์ที่ได้รับด้วยแล้ว โดยที่ยังคงเป็นอัตราเดิมตามประกาศกระทรวงสาธารณสุข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 2560 และประกาศกระทรวงสาธารณสุข เรื่อง อัตราค่าขึ้นบัญชีสูงสุด 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มาตรา 35/5 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บัญญัติให้ค่าใช้จ่ายและค่าขึ้นบัญชีที่จัดเก็บได้ ให้เป็นเงินของสำนักงานคณะกรรมการอาหารและยาหรือหน่วยงานที่ได้รับมอบหมายให้ทำกิจการในหน้าที่และอำนาจของสำนักงานคณะกรรมการอาหารและยา แล้วแต่กรณี โดยไม่ต้องนำส่งคลังเป็นรายได้แผ่นดิน และให้จ่ายเพื่อวัตถุประสงค์ตามที่กฎหมายกำหนด จึงอาจทำให้ภาครัฐสูญเสียรายได้จากการไม่ต้องนำส่งคลังเป็นรายได้แผ่นดิน ซึ่งเงินรายได้จากการดำเนินงานของสำนักงานคณะกรรมการอาหารและยาด้านเครื่องมือแพทย์ จากปีงบประมาณ 2565 ประมาณ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24 ล้านบาท แต่มีค่าใช้จ่ายในการดำเนินงานปีงบประมาณ 2565 ประมาณ 26 ล้านบาท การนำเงินรายได้ดังกล่าวมาใช้ในการดำเนินงานตามวัตถุประสงค์เป็นการลดภาระค่าใช้จ่ายจากงบประมาณภาครัฐ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 รวม 2 ฉบับ มีสาระสำคัญเป็นการกำหนด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และกำหนดอัตราค่าขึ้นบัญชีสูงสุดที่จะจัดเก็บจากผู้เชี่ยวชาญ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 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อนุญาต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....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1.1 กำหนดอัตราค่าใช้จ่ายสูงสุด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1.1.1 บัญชี 1 การประเมินเอกสารทางวิชาการ และการตรวจสถานประกอบการ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อัตราสูงสุด (บาท)</w:t>
            </w:r>
          </w:p>
        </w:tc>
      </w:tr>
      <w:tr w:rsidR="00C36801" w:rsidRPr="00C36801" w:rsidTr="00010390">
        <w:trPr>
          <w:trHeight w:val="208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การประเมินเอกสารทางวิชาการเครื่องมือแพทย์</w:t>
            </w: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การประเมินตามคำขออนุญาตผลิตหรือนำเข้าเครื่องมือแพทย์ คำขอแจ้งรายการละเอียดผลิตหรือนำเข้าเครื่องมือแพทย์ที่ต้องให้ผู้เชี่ยวชาญประเมินเอกสารวิชาการ โดยกำหนดอัตราตามระดับความเสี่ยงของผลิตภัณฑ์ ดังนี้</w:t>
            </w: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เครื่องมือแพทย์ประเภทที่ 4 (ที่มีความเสี่ยงสูง)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เครื่องมือแพทย์ประเภทที่ 3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เครื่องมือแพทย์ประเภทที่ 2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เครื่องมือแพทย์ประเภทที่ 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การประเมินตามคำขอแก้ไขเปลี่ยนแปลงรายการที่ได้รับอนุญาต หรือแจ้งรายการละเอียด ที่ต้องให้ผู้เชี่ยวชาญประเมินเอกสารวิชาการ โดยกำหนดอัตราตามระดับความเสี่ยงของผลิตภัณฑ์ ดังนี้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เครื่องมือแพทย์ประเภทที่ 4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เครื่องมือแพทย์ประเภทที่ 3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เครื่องมือแพทย์ประเภทที่ 2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เครื่องมือแพทย์ประเภทที่ 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การประเมินตามคำขออนุญาตโฆษณาเครื่องมือแพทย์ ที่ต้องให้ ผู้เชี่ยวชาญประเมินเอกสารวิชาการ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1.4 การประเมินตามคำขอหนังสือรับรองการวินิจฉัยผลิตภัณฑ์ การจัดระดับความเสี่ยง หรือการจัดกลุ่มเครื่องมือแพทย์ ที่ต้องให้ผู้เชี่ยวชาญประเมินเอกสารวิชาการ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 การประเมินตามคำขอผ่อนผันตามมาตรา 27 แห่งพระราชบัญญัติเครื่องมือแพทย์ พ.ศ. 2551 หรือคำขออื่นที่ต้องให้ผู้เชี่ยวชาญประเมินหรือตรวจสอบ เช่น การผลิตหรือนำเข้าเครื่องมือแพทย์เพื่อการศึกษาวิจัย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การตรวจประเมินสถานประกอบการ เพื่อจดทะเบียนสถานประกอบการ หรือรับรองระบบคุณภาพ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 การตรวจประเมินเพื่อออกใบจดทะเบียนสถานประกอบการผลิต และการพิจารณาแก้ไขเปลี่ยนแปลงรายการหรือการต่ออายุ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การตรวจประเมินเพื่อออกใบจดทะเบียนสถานประกอบการ นำเข้า หรือใบอนุญาตขาย และการพิจารณาแก้ไขเปลี่ยนแปลงรายการหรือการต่ออายุ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การตรวจประเมินเพื่อออกหนังสือรับรองตามหลักเกณฑ์ และวิธีการที่ดีในการผลิตเครื่องมือแพทย์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GMP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(1) การตรวจประเมินจากเอกสารระบบคุณภาพ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Quality system document evaluation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Paper assessment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(2) การตรวจประเมินเพื่อออกหนังสือรับรองตามหลักเกณฑ์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GMP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รวมทั้งตรวจติดตาม และตรวจต่ออายุ 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สถานที่ผลิตอยู่ในประเทศไทย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สถานที่ผลิตอยู่ในต่างประเทศ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On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site GMP inspection at the overseas manufacturers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450,000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 การตรวจประเมินสถานที่ภายในประเทศเพื่อออกหนังสือรับรองตามหลักเกณฑ์และวิธีการที่ดีในการกระจาย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GDP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340,000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2.5 การตรวจประเมินเพื่อออกหนังสือรับรองตามหลักเกณฑ์ และวิธีการที่ดีเบื้องต้นในการกระจายเครื่องมือแพทย์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Primary GDP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135,000</w:t>
            </w:r>
          </w:p>
        </w:tc>
      </w:tr>
      <w:tr w:rsidR="00C36801" w:rsidRPr="00C36801" w:rsidTr="00010390">
        <w:trPr>
          <w:trHeight w:val="26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2.6 การประเมินการศึกษาวิจัยเครื่องมือแพทย์ตามหลักเกณฑ์ และวิธีการที่ดีในการศึกษาวิจัยทางคลินิก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GCP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Protocol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Site visits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630,000</w:t>
            </w:r>
          </w:p>
        </w:tc>
      </w:tr>
    </w:tbl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1.1.2 บัญชี 2 การพิจารณาหรือการตรวจสอบใด ๆ นอกจากบัญชี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อัตราสูงสุด (บาท)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การตรวจสอบและสืบค้นเอกสารที่เกี่ยวข้องกับการอนุญาต (หมายถึง ไม่รวมค่าบริการค้นหาและขนส่งเอกสารจากหน่วยงาน ที่สำนักงานคณะกรรมการอาหารและยาและเช่าสถานที่เพื่อจัดเก็บ และไม่รวมการคัดสำเนาเอกสาร)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การพิจารณาตอบข้อหารือ การสอบถาม หรือให้บริการข้อมูลทั่วไป โดยตอบเป็นหนังสือ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การพิจารณาวินิจฉัยผลิตภัณฑ์ การจัดประเภทเครื่องมือแพทย์ตามความเสี่ยง หรือการจัดกลุ่มเครื่องมือแพทย์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grouping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โดยตอบเป็นหนังสือ (กรณีไม่ส่งให้ผู้เชี่ยวชาญประเมินหรือตรวจสอบ)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วินิจฉัยผลิตภัณฑ์ว่าเป็นเครื่องมือแพทย์หรือไม่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 การจัดประเภทเครื่องมือแพทย์ตามความเสี่ยง</w:t>
            </w:r>
          </w:p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 การจัดกลุ่มเครื่องมือแพทย์ (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grouping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3,800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4. การพิจารณาให้ความเห็นเรื่องฉลากหรือเอกสารกำกับเครื่องมือแพทย์ โดยตอบเป็นหนังสือ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 กรณีไม่ต้องหารือหรือไม่ต้องประชุมผู้เชี่ยวชาญเพื่อประเมิน หรือตรวจสอบ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กรณีต้องหารือหรือต้องประชุมผู้เชี่ยวชาญเพื่อประเมิน หรือตรวจสอบ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C36801" w:rsidRPr="00C36801" w:rsidTr="00010390">
        <w:trPr>
          <w:trHeight w:val="321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การพิจารณาให้คำปรึกษาทางวิชาการเฉพาะเกี่ยวกับเครื่องมือแพทย์</w:t>
            </w: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5.1 ด้านการผลิตหรือนำเข้าเครื่องมือแพทย์เพื่อการวิจัยและพัฒนา และกฎหมายที่เกี่ยวข้อง</w:t>
            </w: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373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ปรึกษาแบบโครงการ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125,000</w:t>
            </w:r>
          </w:p>
        </w:tc>
      </w:tr>
      <w:tr w:rsidR="00C36801" w:rsidRPr="00C36801" w:rsidTr="00010390">
        <w:trPr>
          <w:trHeight w:val="409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ปรึกษารายครั้ง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5.2 ด้านสถานที่และระบบคุณภาพการผลิต การนำเข้า การขายเครื่องมือแพทย์ 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410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แบบแปลนสถานที่ผลิต และหลักเกณฑ์ระบบคุณภาพการผลิต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แบบแปลนสถานที่นำเข้าหรือขาย และหลักเกณฑ์ระบบคุณภาพการนำเข้าหรือขาย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5.3 ด้านผลิตภัณฑ์และมาตรฐานเครื่องมือแพทย์ การขออนุญาต การแจ้งรายการละเอียด การจดแจ้ง การขอผ่อนผันต่าง ๆ หรือเอกสารที่ใช้ในการยื่นคำขอและกฎหมายที่เกี่ยวข้อง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5.4 ด้านโฆษณาเครื่องมือแพทย์ หรือการขออนุญาต และกฎหมายที่เกี่ยวข้อง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6. การตรวจสอบการบันทึกข้อมูลในการยื่นคำขอในระบบ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submission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(กรณีที่ต้องการให้เจ้าหน้าที่บันทึกข้อมูลให้)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การตรวจสอบข้อมูลการขอจดแจ้งผลิตเครื่องมือแพทย์ และการขอต่ออายุ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การตรวจสอบข้อมูลการขอจดแจ้งนำเข้าเครื่องมือแพทย์ และการขอต่ออายุ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6,000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การตรวจสอบคำขอผลิตเครื่องมือแพทย์ที่ได้รับการยกเว้นตามมาตรา 27 (5) (6) (7) และ (8) แห่งพระราชบัญญัติเครื่องมือแพทย์ พ.ศ. 2551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1,500</w:t>
            </w:r>
          </w:p>
        </w:tc>
      </w:tr>
      <w:tr w:rsidR="00C36801" w:rsidRPr="00C36801" w:rsidTr="00010390">
        <w:trPr>
          <w:trHeight w:val="525"/>
        </w:trPr>
        <w:tc>
          <w:tcPr>
            <w:tcW w:w="651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 การตรวจสอบคำขอนำเข้าเครื่องมือแพทย์ที่ได้รับการยกเว้นตามมาตรา 27 (5) (6) (7) และ (8) แห่งพระราชบัญญัติเครื่องมือแพทย์ พ.ศ. 2551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รายการละ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</w:tbl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 เป็นอัตราเดียวกับ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ที่กำหนดไว้ในประกาศกระทรวงสาธารณสุข เรื่อง อัตราค่าใช้จ่ายสูงสุด ที่จะจัดเก็บจากผู้ยื่นคำขอในกระบวนการพิจารณาอนุญาตผลิตภัณฑ์เครื่องมือแพทย์ พ.ศ. 2560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กำหนดให้อาจมีการ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พิจารณาทบทวน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อัตราค่าใช้จ่ายสูงสุดในบัญชีแนบท้ายทุก 5 ปี หรือเมื่อมีเหตุจำเป็นอื่น</w:t>
      </w:r>
    </w:p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 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หน่วยงานของรัฐหรือองค์กรเอกชน ทั้งในประเทศและต่างประเทศ ที่ทำหน้าที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C36801" w:rsidRPr="00C36801" w:rsidRDefault="00C36801" w:rsidP="00C3680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2.1 กำหนดอัตราค่าขึ้นบัญชีสูงสุด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C36801" w:rsidRPr="00C36801" w:rsidTr="00010390">
        <w:trPr>
          <w:trHeight w:val="157"/>
        </w:trPr>
        <w:tc>
          <w:tcPr>
            <w:tcW w:w="5382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276" w:type="dxa"/>
            <w:vMerge w:val="restart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หน่วยนับ</w:t>
            </w:r>
          </w:p>
        </w:tc>
        <w:tc>
          <w:tcPr>
            <w:tcW w:w="2976" w:type="dxa"/>
            <w:gridSpan w:val="2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อัตราสูงสุด</w:t>
            </w:r>
          </w:p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องค์กรหรือหน่วยงานผู้เชี่ยวชาญ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1.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ทั้งในประเทศและต่างประเทศที่ทำหน้าที่ในการประเมินเอกสารวิชาการ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(1) 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การตรวจประเมินผู้เชี่ยวชาญ โดยตรวจประเมินการปฏิบัติงานจริง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1.3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การตรวจประเมินระบบ โดยพิจารณาจากเอกสาร หรือการตรวจประเมิน ณ สำนักงานขององค์กร หรือหน่วยงานผู้เชี่ยวชาญ เพื่อการขึ้นบัญชี การขยายขอบข่าย การแก้ไขเปลี่ยนแปลง หรือการตรวจติดตาม*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หรือองค์กรเอกชนทั้งในประเทศและต่างประเทศที่ทำหน้าที่ในการตรวจประเมินสถานประกอบการ</w:t>
            </w:r>
            <w:r w:rsidRPr="00C368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(2) 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การตรวจประเมินสมรรถนะของผู้ตรวจประเมินสถานประกอบการโดยตรวจประเมินการปฏิบัติงานจริง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การตรวจประเมินระบบ โดยพิจารณาจากเอกสาร หรือการตรวจประเมิน ณ สำนักงานของหน่วยตรวจประเมินสถานประกอบการเพื่อการขึ้นบัญชี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 ค่าขึ้นบัญชีสูงสุดที่จะจัดเก็บจากผู้เชี่ยวชาญ องค์กรผู้เชี่ยวชาญ หน่วยงานของรัฐ หรือองค์กรเอกชน ทั้งในประเทศและต่างประเทศที่ทำหน้าที่ตรวจสอบ ตรวจวิเคราะห์ หรือทดสอบทางห้องปฏิบัติการ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 การพิจารณาคำขอขึ้นบัญชี หรือคำขออื่นที่เกี่ยวข้อง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3.2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การตรวจประเมินหน่วยตรวจสอบ หน่วยตรวจ วิเคราะห์ หรือหน่วยทดสอบทางห้องปฏิบัติการ เพื่อการขึ้นบัญชี การขยายขอบข่าย การแก้ไขเปลี่ยนแปลง หรือการตรวจติดตาม</w:t>
            </w: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แห่งละ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40,000</w:t>
            </w:r>
          </w:p>
        </w:tc>
      </w:tr>
      <w:tr w:rsidR="00C36801" w:rsidRPr="00C36801" w:rsidTr="00010390">
        <w:trPr>
          <w:trHeight w:val="266"/>
        </w:trPr>
        <w:tc>
          <w:tcPr>
            <w:tcW w:w="5382" w:type="dxa"/>
          </w:tcPr>
          <w:p w:rsidR="00C36801" w:rsidRPr="00C36801" w:rsidRDefault="00C36801" w:rsidP="00C3680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68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 การขึ้นบัญชี</w:t>
            </w:r>
          </w:p>
        </w:tc>
        <w:tc>
          <w:tcPr>
            <w:tcW w:w="1276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417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C36801" w:rsidRPr="00C36801" w:rsidRDefault="00C36801" w:rsidP="00C3680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68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50,000</w:t>
            </w:r>
          </w:p>
        </w:tc>
      </w:tr>
    </w:tbl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 เป็นอัตราเดียวกับ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ที่กำหนดไว้ในประกาศกระทรวงสาธารณสุข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ที่ทำหน้าที่ในการประเมินเอกสารทางวิชาการ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หรือการตรวจสอบผลิตภัณฑ์เครื่องมือแพทย์ พ.ศ. 2560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* หมายถึง ค่าใช้จ่ายในการเดินทางและค่าที่พักของคณะผู้ตรวจประเมินให้ผู้ยื่นคำขอขึ้นบัญชีเป็นผู้รับผิดชอบ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(</w:t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3680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หมายถึง อัตรานี้คำนวณจากผู้เชี่ยวชาญ จำนวน 1 คน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(2)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หมายถึง อัตรานี้คำนวณจากผู้ตรวจประเมินสถานประกอบการ จำนวน 1 คน</w:t>
      </w:r>
    </w:p>
    <w:p w:rsidR="005F667A" w:rsidRPr="00010390" w:rsidRDefault="00C36801" w:rsidP="000103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2.2 กำหนดให้อาจมีการ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พิจารณาทบทวน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อัตราค่าขึ้นบัญชีในบัญชีแนบท้ายทุก 5 ปี หรือเมื่อมีเหตุจำเป็นอื่น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390">
        <w:tc>
          <w:tcPr>
            <w:tcW w:w="9820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103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D2B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แผนการใช้จ่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ายเงินกองทุนส่งเสริมการค้าระหว่างประเทศ ปีงบประมาณ 2567</w:t>
      </w:r>
      <w:r w:rsidR="003C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(แผนปฏิบัติการประจำปี 2567)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คณะรัฐมนตรีรับทราบตามที่กระทรวงพาณิชย์ (พณ.)</w:t>
      </w:r>
      <w:r w:rsidR="00BD2B31">
        <w:rPr>
          <w:rFonts w:ascii="TH SarabunPSK" w:hAnsi="TH SarabunPSK" w:cs="TH SarabunPSK"/>
          <w:sz w:val="32"/>
          <w:szCs w:val="32"/>
          <w:cs/>
        </w:rPr>
        <w:t xml:space="preserve"> เสนอ แผนการใช้จ่</w:t>
      </w:r>
      <w:r w:rsidRPr="00194BB4">
        <w:rPr>
          <w:rFonts w:ascii="TH SarabunPSK" w:hAnsi="TH SarabunPSK" w:cs="TH SarabunPSK"/>
          <w:sz w:val="32"/>
          <w:szCs w:val="32"/>
          <w:cs/>
        </w:rPr>
        <w:t>ายเงินกองทุนส่งเสริมการค้าระหว่างประเทศ ปีงบประมาณ 2567  (แผนการใช้จ่ายเงินฯ) (แผนปฏิบัติการประจำปี 2567)  ซึ่งเป็นโครงการของหน่วยงานภาครัฐและเอกชน รวม 8</w:t>
      </w:r>
      <w:r w:rsidR="00BD2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หน่วยงาน จำนวน 212 โครงการ วงเงินทั้งสิ้น 530.09 ล้านบาท โดยเป็นไปตามวัตถุประสงค์ ระเบียบ หลักเกณฑ์ และมติคณะกรรมการบริหารกองทุนส่งเสริมการค้าระหว่างประเทศ</w:t>
      </w:r>
      <w:r w:rsidRPr="00194BB4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(คณะกรรมการบริหารฯ) รวมถึงสอดคล้องกับนโยบายของรัฐบาล และยุทธศาสตร์ของกองทุนส่งเสริมการค้าระหว่างประเทศที่กำหนดไว้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3C25EA" w:rsidRPr="009075ED" w:rsidRDefault="009075ED" w:rsidP="009075E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C25EA" w:rsidRPr="00332C4A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คณะกรรมการบริหารฯ ในคราวประชุมครั้งที่ 2/2566 (29 พฤษาคม 2566) ครั้งที่ 3/2566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25EA" w:rsidRPr="00332C4A">
        <w:rPr>
          <w:rFonts w:ascii="TH SarabunPSK" w:hAnsi="TH SarabunPSK" w:cs="TH SarabunPSK"/>
          <w:sz w:val="32"/>
          <w:szCs w:val="32"/>
          <w:cs/>
        </w:rPr>
        <w:t xml:space="preserve">(4 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 xml:space="preserve">กันยายน 2566) และครั้งที่ 4/2566  (1 ธันวาคม 2566) (รัฐมนตรีว่าการกระทรวงพาณิชย์เป็นประธาน) ได้มีมติอนุมัติแผนการใช้จ่ายเงินฯ โดยเป็นโครงการของหน่วยงานภาครัฐและเอกชนรวม 8 หน่วยงาน จำนวน 212 โครงการ วงเงินทั้งสิ้น </w:t>
      </w:r>
      <w:r w:rsidR="003C25EA" w:rsidRPr="009075ED">
        <w:rPr>
          <w:rFonts w:ascii="TH SarabunPSK" w:hAnsi="TH SarabunPSK" w:cs="TH SarabunPSK"/>
          <w:sz w:val="32"/>
          <w:szCs w:val="32"/>
        </w:rPr>
        <w:t>530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>.</w:t>
      </w:r>
      <w:r w:rsidR="003C25EA" w:rsidRPr="009075ED">
        <w:rPr>
          <w:rFonts w:ascii="TH SarabunPSK" w:hAnsi="TH SarabunPSK" w:cs="TH SarabunPSK"/>
          <w:sz w:val="32"/>
          <w:szCs w:val="32"/>
        </w:rPr>
        <w:t>09</w:t>
      </w:r>
      <w:r w:rsidR="003C25EA" w:rsidRPr="009075ED">
        <w:rPr>
          <w:rFonts w:ascii="TH SarabunPSK" w:hAnsi="TH SarabunPSK" w:cs="TH SarabunPSK"/>
          <w:sz w:val="32"/>
          <w:szCs w:val="32"/>
          <w:cs/>
        </w:rPr>
        <w:t xml:space="preserve"> ล้านบาท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1519"/>
      </w:tblGrid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ชื่อโครงการ/โครงการย่อย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(1) แผนปฏิบัติการด้านการเสริมสร้างขีดความสามารถในการแข่งขันทางการค้าระหว่างประเทศ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413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การผลักดันคลัสเตอร์เป้าหมาย เช่น โครงการส่งเสริมและประชาสัมพันธ์ภาพลักษณ์ข้าวไทยในงานแสดงสินค้านานาชาติโครงการพัฒนาและส่งเสริมการค้าระหว่างประเทศสินค้าเกษตร อาหาร และธุรกิจบริการบริการอาหาร โครงการพัฒนาและส่งเสริมการค้าสินค้าไลฟ์สไตล์ โครงการส่งเสริมธุรกิจบันเทิงไทยในงาน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Cannes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Film Festival 2024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371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(1.2) การพัฒนาศักยภาพผู้ประกอบการให้พร้อมรับการเปลี่ยนแปลงสู่เศรษฐกิจยุคใหม่ เช่น โครงการพัฒนาผู้ประกอบการสู่เศรษฐกิจยุคใหม่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New Economy Academy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โครงการจัดสัมมนา “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ATA Camet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Passport of the Goods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14.77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การพัฒนาส่งเสริมการสร้างมูลค่าเพิ่ม และการสร้างภาพลักษณ์และส่งสริมการสร้างแบรนด์สินค้าและบริการ เช่น โครงการสร้างแบรนด์ประเทศไทยในด้านการค้าและบริการ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15.22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การพัฒนาองค์กรสู่อนาคต เช่น โครงการสนับสนุนค่าบำรุงสมาชิกของหอการค้านานาชาติแห่งประเทศไทย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11.30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แผนปฏิบัติการด้านการเจรจาเชิงรุกเพื่อเปิดตลาด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โครงการประชุมความร่วมมือทางการค้าข้าว โครงการประชุมเจรจาระหว่างประเทศว่าด้วยเรื่องทรัพย์สินทางปัญญา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55.09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แผนปฏิบัติการด้านการเร่งรัดทำการตลาดเชิงกลยุทธ์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61.99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การรุกตลาดศักยภาพเดิม เปิดเพิ่มตลาดใหม่ และขยายสัดส่วนการส่งออกสินค้าไทยสู่ตลาดโลก เช่น โครงการงานแสดงสินค้า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Thailand Week 2024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เจนไน โครงการพัฒนาและส่งเสริมการค้าและธุรกิจในต่างประเทศ ตลาดแอฟริกาและตะวันออกกลาง</w:t>
            </w:r>
          </w:p>
        </w:tc>
        <w:tc>
          <w:tcPr>
            <w:tcW w:w="1843" w:type="dxa"/>
          </w:tcPr>
          <w:p w:rsidR="003C25EA" w:rsidRPr="00194BB4" w:rsidRDefault="003C25EA" w:rsidP="009075E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56.39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การผลักดันการค้าผ่านช่องทางตลาดพาณิชย์ดิจิทัลและช่องทางกระจายสินค้ารูปแบบใหม่ ได้แก่ โครงการเจาะตลาดสินค้า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E Commerce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ผ่านสื่อสมัยใหม่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5.60</w:t>
            </w:r>
          </w:p>
        </w:tc>
      </w:tr>
      <w:tr w:rsidR="003C25EA" w:rsidRPr="00194BB4" w:rsidTr="00010390">
        <w:tc>
          <w:tcPr>
            <w:tcW w:w="6232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1519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530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</w:tr>
    </w:tbl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2. ประโยชน์ที่ไทยได้รับ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ช่วยส่งเสริมการค้าระหว่างประเทศให้ผู้ประกอบการไทย เพิ่มขีดความสามารถทางการแข่งขันในโลกการค้าปัจจุบันและเพิ่มช่องทางการตลาด ทำให้ผู้ประกอบการได้มีโอกาสเจรจาการค้ากับผู้ซื้อรายใหม่ ๆ รวมถึงประชาสัมพันธ์สินค้า/บริการของผู้ประกอบการไทยสู่เวทีการค้าระหว่างประเทศอันจะมีส่วนช่วยให้มูลค่าการส่งออกเติบโต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ด้านการดำเนินโครงการ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ส่งเสริมการบริหารกิจกรรมการพัฒนาและส่งเสริมการส่งออกให้มีความคล่องตัว มีประสิทธิภาพ และเกิดประโยชน์สูงสุดโดยเฉพาะโครงการหรือกิจกรรมที่ต้องใช้ความเร่งด่วน เพื่อสร้างความแข็งแกร่งทางการค้าที่มีการเปลี่ยนแปลงในโลกการค้าปัจจุบัน (</w:t>
      </w:r>
      <w:r w:rsidRPr="00194BB4">
        <w:rPr>
          <w:rFonts w:ascii="TH SarabunPSK" w:hAnsi="TH SarabunPSK" w:cs="TH SarabunPSK"/>
          <w:sz w:val="32"/>
          <w:szCs w:val="32"/>
        </w:rPr>
        <w:t>Mega Trend</w:t>
      </w:r>
      <w:r w:rsidRPr="00194BB4">
        <w:rPr>
          <w:rFonts w:ascii="TH SarabunPSK" w:hAnsi="TH SarabunPSK" w:cs="TH SarabunPSK"/>
          <w:sz w:val="32"/>
          <w:szCs w:val="32"/>
          <w:cs/>
        </w:rPr>
        <w:t>) ตลอดจนการรักษาตลาดเดิมขยายตลาดใหม่ การผลักคันการค้าชายแดน รวมทั้งแก้ไขปัญหาและอุปสรรคในการส่งออกให้สามารถดำเนินการไปได้อย่างรวดเร็วและมีประสิทธิภาพ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</w:rPr>
        <w:tab/>
      </w:r>
      <w:r w:rsidRPr="00194BB4">
        <w:rPr>
          <w:rFonts w:ascii="TH SarabunPSK" w:hAnsi="TH SarabunPSK" w:cs="TH SarabunPSK"/>
          <w:sz w:val="32"/>
          <w:szCs w:val="32"/>
        </w:rPr>
        <w:tab/>
      </w:r>
      <w:r w:rsidRPr="00194BB4">
        <w:rPr>
          <w:rFonts w:ascii="TH SarabunPSK" w:hAnsi="TH SarabunPSK" w:cs="TH SarabunPSK"/>
          <w:sz w:val="32"/>
          <w:szCs w:val="32"/>
        </w:rPr>
        <w:tab/>
        <w:t>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ด้านงบประมาณ  </w:t>
      </w:r>
      <w:r w:rsidRPr="00194BB4">
        <w:rPr>
          <w:rFonts w:ascii="TH SarabunPSK" w:hAnsi="TH SarabunPSK" w:cs="TH SarabunPSK"/>
          <w:sz w:val="32"/>
          <w:szCs w:val="32"/>
          <w:cs/>
        </w:rPr>
        <w:t>กองทุนส่งเสริมการค้าระหว่างประเทศสามารถอนุมัติจัดสรรให้หน่วยงานภาครัฐและภาคเอกชน</w:t>
      </w:r>
      <w:proofErr w:type="gramEnd"/>
      <w:r w:rsidRPr="00194BB4">
        <w:rPr>
          <w:rFonts w:ascii="TH SarabunPSK" w:hAnsi="TH SarabunPSK" w:cs="TH SarabunPSK"/>
          <w:sz w:val="32"/>
          <w:szCs w:val="32"/>
          <w:cs/>
        </w:rPr>
        <w:t xml:space="preserve"> เพื่อเร่งรัด ผลักดัน  และแก้ไขปัญหาอุปสรรคของการค้าระหว่างประเทศได้อย่างต่อเนื่อง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</w:rPr>
        <w:t>_____________</w:t>
      </w:r>
    </w:p>
    <w:p w:rsidR="003C25EA" w:rsidRPr="00BA4AE9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A4AE9">
        <w:rPr>
          <w:rFonts w:ascii="TH SarabunPSK" w:hAnsi="TH SarabunPSK" w:cs="TH SarabunPSK"/>
          <w:sz w:val="28"/>
          <w:vertAlign w:val="superscript"/>
          <w:cs/>
        </w:rPr>
        <w:t>1</w:t>
      </w:r>
      <w:r w:rsidRPr="00BA4AE9">
        <w:rPr>
          <w:rFonts w:ascii="TH SarabunPSK" w:hAnsi="TH SarabunPSK" w:cs="TH SarabunPSK"/>
          <w:sz w:val="28"/>
          <w:cs/>
        </w:rPr>
        <w:t>กองทุนส่งเสริมการค้าระหว่างประเทศ อยู่ภายใต้การกำกับดูแลของ พณ. จัดตั้งขึ้นโดยอาศัยอำนาจตามมาตรา 13 แห่งพระราชบัญญัติการส่งออกไปนอกและการนำเข้ามาในราชอาณาจักรซึ่งสินค้า พ.ศ. 2522 มีวัตถุประสงค์เพื่อเป็นทุนหมุนเวียนสำหรับใช้จ่ายเกี่ยวกับการส่งเสริมการค้าระหว่างประเทศ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103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bookmarkStart w:id="0" w:name="_Hlk69476760"/>
      <w:r w:rsidR="003C25EA"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รายงานภาวะเศรษฐกิจอุตสาหกรรมไตรมาสที่ 4/2566 และแนวโน้มไตรมาสที่ 1/2567 และรายงานภาวะเศรษฐกิจอุตสาหกรรมประจำเดือนมกราคม 2567   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คณะรัฐมนตรีรับทราบรายงานภาวะเศรษฐกิจอุตสาหกรรมไตรมาสที่ 4/2566 และแนวโน้มไตรมาสที่ 1/2567 และรายงานภาวะเศรษฐกิจอุต</w:t>
      </w:r>
      <w:r>
        <w:rPr>
          <w:rFonts w:ascii="TH SarabunPSK" w:hAnsi="TH SarabunPSK" w:cs="TH SarabunPSK"/>
          <w:sz w:val="32"/>
          <w:szCs w:val="32"/>
          <w:cs/>
        </w:rPr>
        <w:t xml:space="preserve">สาหกรรมประจำเดือนมกราคม 2567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ตามที่กระทรวงอุตสาหกรรม (อก.) เสนอ 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</w:t>
      </w:r>
      <w:bookmarkEnd w:id="0"/>
    </w:p>
    <w:p w:rsidR="003C25EA" w:rsidRPr="00194BB4" w:rsidRDefault="003C25EA" w:rsidP="003C25EA">
      <w:pPr>
        <w:tabs>
          <w:tab w:val="left" w:pos="270"/>
          <w:tab w:val="left" w:pos="1418"/>
          <w:tab w:val="left" w:pos="1843"/>
          <w:tab w:val="left" w:pos="2410"/>
        </w:tabs>
        <w:spacing w:after="0" w:line="320" w:lineRule="exact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bookmarkStart w:id="1" w:name="_Hlk42693638"/>
      <w:bookmarkStart w:id="2" w:name="_Hlk47950532"/>
      <w:bookmarkStart w:id="3" w:name="_Hlk2933633"/>
      <w:bookmarkStart w:id="4" w:name="_Hlk80008058"/>
      <w:bookmarkStart w:id="5" w:name="_Hlk95737553"/>
      <w:bookmarkStart w:id="6" w:name="_Hlk95737962"/>
      <w:bookmarkStart w:id="7" w:name="_Hlk87276933"/>
      <w:bookmarkStart w:id="8" w:name="_Hlk95739455"/>
      <w:bookmarkStart w:id="9" w:name="_Hlk113956650"/>
      <w:bookmarkStart w:id="10" w:name="_Hlk135398955"/>
      <w:bookmarkStart w:id="11" w:name="_Hlk130387996"/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สาระสำคัญและข้อเท็จจริง</w:t>
      </w:r>
    </w:p>
    <w:p w:rsidR="003C25EA" w:rsidRPr="00194BB4" w:rsidRDefault="003C25EA" w:rsidP="003C25EA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20" w:lineRule="exact"/>
        <w:ind w:right="-19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ภาวะเศรษฐกิจอุตสาหกรรมไทยไตรมาสที่ 4 ปี 256</w:t>
      </w:r>
      <w:r w:rsidRPr="00194BB4">
        <w:rPr>
          <w:rFonts w:ascii="TH SarabunPSK" w:hAnsi="TH SarabunPSK" w:cs="TH SarabunPSK"/>
          <w:sz w:val="32"/>
          <w:szCs w:val="32"/>
        </w:rPr>
        <w:t>6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เมื่อพิจารณาจากดัชนีผลผลิต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 (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MPI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มีค่าอยู่ที่ 89.35 ลดลงร้อยละ 5.06 เมื่อเทียบกับไตรมาสเดียวกันของปีก่อน โดยเป็นการปรับตัวลดลงเป็นไตรมาสที่ 5 ติดต่อกัน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จากการผลิตเพื่อจำหน่ายในประเทศที่ลดลงตามการบริโภคภายในประเทศเป็นหลัก ประกอบกับสถานการณ์หนี้ครัวเรือนที่อยู่ในระดับสูง การปล่อยสินเชื่อของสถาบันการเงินจึงมีความเข้มงวดมากขึ้น รวมถึงอัตราดอกเบี้ยที่เพิ่มสูงขึ้น ส่งผลต่อต้นทุนการเงินและภาระหนี้ของผู้ประกอบการที่เพิ่มสูงขึ้น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อุตสาหกรรมสำคัญที่ชะลอตัว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ในไตรมาสที่ 4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 2566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ยานยนต์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จากการผลิต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รถปิคอัพ 1 ตัน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เป็นหลัก โดยเป็นผลจากการผลิตเพื่อจำหน่ายใน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ประเทศ เนื่องจากรายได้เกษตรกร ซึ่งเป็นกลุ่มผู้บริโภคหลักปรับลดลงจากปีก่อน ส่งผลให้กำลังซื้อชะลอตัว ประกอบกับภาระหนี้สินภาคครัวเรือนอยู่ในระดับสูง ส่งผลให้สถาบันการเงินมีความเข้มงวดในการปล่อยสินเชื่อมากขึ้น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ชิ้นส่วนและแผ่นวงจรอิเล็กทรอนิกส์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ตามการชะลอตัวของตลาดโลก ทำให้ความต้องการชิ้นส่วนอิเล็กทรอนิกส์ในตลาดโลกลดลง 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คอมพิวเตอร์และอุปกรณ์ต่อพ่วง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ปรับตัวลดลงจาก 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 xml:space="preserve">Hard Disk Drive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เป็นหลักจากความต้องการอุปกรณ์การจัดเก็บชะลอตัว ประกอบกับการเปลี่ยนแปลงของเทคโนโลยีที่มีอุปกรณ์อื่น ๆ  ในการจัดเก็บข้อมูลมีพื้นที่</w:t>
      </w:r>
      <w:r w:rsidRPr="00194BB4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จัดเก็บมากและประสิทธิภาพสูงขึ้น สำหรับ </w:t>
      </w:r>
      <w:r w:rsidRPr="00194BB4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อุตสาหกรรมที่มีการขยายตัวในไตรมาสที่ </w:t>
      </w:r>
      <w:r w:rsidRPr="00194BB4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lastRenderedPageBreak/>
        <w:t>4 ปี 2566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อาทิ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ผลิตภัณฑ์ที่ได้จากการกลั่นปิโตรเลียม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เป็นการผลิตเพื่อตอบสนองความต้องการที่เพิ่มขึ้นจากตลาดในประเทศและตลาดส่งออก ตามการฟื้นตัวอย่างต่อเนื่องของภาคการท่องเที่ยว ประกอบกับช่วงเดียวกันของปีก่อนมีโรงกลั่นบางโรงหยุดซ่อมบำรุง 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สายไฟและเคเบิลอื่นๆ ชนิดใช้ในทาง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อิเล็กทรอนิกส์และไฟฟ้า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จากสายไฟฟ้าเป็นหลัก เนื่องจากมีคำสั่งซื้อเพิ่มขึ้นจากการไฟฟ้าตามรอบการบำรุงรักษา ประกอบกับมีงานโครงการต่าง 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ทั้งภาครัฐ และเอกชนส่งผลให้ความต้องการใช้สายไฟฟ้ามีมากขึ้น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เยื่อกระดาษ กระดาษ และกระดาษแข็ง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เพิ่มขึ้นตามการเติบโตของตลาดออนไลน์ ส่งผลให้ธุรกิจขนส่งขยายตัว ความต้องการผลิตภัณฑ์หีบห่อบรรจุภัณฑ์ที่เป็นกระดาษจึงมีความต้องการมากขึ้น</w:t>
      </w:r>
    </w:p>
    <w:p w:rsidR="003C25EA" w:rsidRPr="00194BB4" w:rsidRDefault="003C25EA" w:rsidP="003C25EA">
      <w:pPr>
        <w:pStyle w:val="ListParagraph"/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12" w:name="_Hlk130288449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เดือนมกราคม 2567 </w:t>
      </w:r>
      <w:bookmarkStart w:id="13" w:name="_Hlk534641374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เมื่อพิจารณาจาก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ดัชนีผลผลิตอุตสาหกรรม (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</w:rPr>
        <w:t>MPI</w:t>
      </w:r>
      <w:r w:rsidRPr="00194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หดตัว ร้อยละ 2.9 จากช่วงเดียวกันของปีก่อน </w:t>
      </w:r>
      <w:bookmarkEnd w:id="13"/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ปัจจัยหลักมาจากปัญหาหนี้ครัวเรือนและดอกเบี้ยอยู่ในระดับสูง ส่งผลให้การบริโภคภายในประเทศโดยเฉพาะสินค้ากึ่งคงทนและสินค้าคงทนปรับตัวลดลง เช่น รถยนต์ ชิ้นส่วนอิเล็กทรอนิกส์ เป็นต้น ประกอบกับการชะลอตัวของเศรษฐกิจประเทศคู่ค้าหลัก เช่น ญี่ปุ่น ตะวันออกกลาง ส่งผลให้การส่งออกชะลอตัวในกลุ่มรถยนต์ เครื่องปรับอากาศ เป็นต้น</w:t>
      </w:r>
      <w:bookmarkEnd w:id="12"/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เดือนมกราคม 2567 หดตัว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เมื่อเทียบกับช่วงเดียวกันของปีก่อน คือ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1. ยานยนต์ หดตัวร้อยละ 9.63 จากรถบรรทุกปิคอัพและรถยนต์นั่งขนาดเล็กเป็นหลัก โดยหดตัวจากตลาดในประเทศ (-27.90%) ตามภาวะเศรษฐกิจชะลอตัวภายในประเทศ ปัญหาหนี้ครัวเรือนอยู่ในระดับสูงทำให้สถาบันการเงินมีความเข้มงวดในการปล่อยสินเชื่อเช่ามากขึ้น และหดตัวจากตลาดส่งออก (-3.92%)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2. ผลิตภัณฑ์ที่ได้จากการกลั่นปิโตรเลียม หดตัวร้อยละ 6.45 จากน้ำมันดีเซลหมุนเร็ว และน้ำมันเบนซินออกเทน 95 เป็นหลัก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3. ชิ้นส่วนและแผ่นวงจรอิเล็กทรอนิกส์ หดตัวร้อยละ 17.71 จากภาวะตลาดอิเล็กทรอนิกส์โลกที่อยู่ในช่วงกำลังฟื้นตัวจากการหดตัวในปีก่อน </w:t>
      </w:r>
    </w:p>
    <w:p w:rsidR="003C25EA" w:rsidRPr="00194BB4" w:rsidRDefault="003C25EA" w:rsidP="003C25EA">
      <w:pPr>
        <w:tabs>
          <w:tab w:val="left" w:pos="1985"/>
        </w:tabs>
        <w:spacing w:after="0" w:line="320" w:lineRule="exact"/>
        <w:ind w:right="-1" w:firstLine="1843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อุตสาหกรรมสำคัญที่ยังขยายตัวในเดือน</w:t>
      </w:r>
      <w:r w:rsidRPr="00194B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มกราคม 2567 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เมื่อเทียบกับเดือนเดียวกันของปีก่อน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1. เครื่องดื่มที่ไม่มีแอลกอฮอล์ น้ำแร่และน้ำดื่มบรรจุขวด ขยายตัวร้อยละ 14.16   </w:t>
      </w:r>
      <w:r w:rsidR="009075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จากน้ำอัดลม เครื่องดื่มรสผลไม้ และเครื่องดื่มบำรุงกำลัง เป็นหลัก ตามความต้องการบริโภคหลังสภาพอากาศร้อนขึ้นรวมถึงมีการเปิดตัวผลิตภัณฑ์ใหม่ให้ตรงกับพฤติกรรมการบริโภคของลูกค้า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2. ปุ๋ยเคมีและสารประกอบไนโตรเจน ขยายตัวร้อยละ 58.68 จากราคาปุ๋ยปรับลดลงและสินค้าเกษตรได้ราคาดี เกษตรกรมีกำลังซื้อปุ๋ยมากขึ้น 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sz w:val="32"/>
          <w:szCs w:val="32"/>
          <w:cs/>
        </w:rPr>
        <w:t xml:space="preserve">3. เครื่องประดับเพชรพลอยแท้ ขยายตัวร้อยละ 19.00 ตามการขยายตัวของตลาดในประเทศ (+54.38%) และตลาดส่งออก (+15.08%) โดยเฉพาะคู่ค้าหลักสำคัญ (ฮ่องกง อังกฤษ และ </w:t>
      </w:r>
      <w:r w:rsidRPr="00194BB4">
        <w:rPr>
          <w:rFonts w:ascii="TH SarabunPSK" w:eastAsia="Calibri" w:hAnsi="TH SarabunPSK" w:cs="TH SarabunPSK"/>
          <w:sz w:val="32"/>
          <w:szCs w:val="32"/>
        </w:rPr>
        <w:t>UAE</w:t>
      </w:r>
      <w:r w:rsidRPr="00194BB4">
        <w:rPr>
          <w:rFonts w:ascii="TH SarabunPSK" w:eastAsia="Calibri" w:hAnsi="TH SarabunPSK" w:cs="TH SarabunPSK"/>
          <w:sz w:val="32"/>
          <w:szCs w:val="32"/>
          <w:cs/>
        </w:rPr>
        <w:t>) ที่ยังมีทิศทางเป็นบวกต่อเนื่อง รวมถึงฐานต่ำในปีก่อนจากปัญหาเงินเฟ้อทั่วโลก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4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1/2567</w:t>
      </w:r>
    </w:p>
    <w:p w:rsidR="003C25EA" w:rsidRPr="00194BB4" w:rsidRDefault="003C25EA" w:rsidP="003C25EA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4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</w:t>
      </w: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เหล็กและเหล็กกล้า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คาดการณ์ว่าจะหดตัวเล็กน้อยเมื่อเทียบกับช่วงเดียวกันของปีก่อน เนื่องจากราคาเหล็กในตลาดโลกมีแนวโน้มปรับตัวลดลง ทำให้ผู้บริโภคชะลอการสั่งซื้อเพื่อดูทิศทางราคา </w:t>
      </w:r>
      <w:r w:rsidR="00DF20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94BB4">
        <w:rPr>
          <w:rFonts w:ascii="TH SarabunPSK" w:hAnsi="TH SarabunPSK" w:cs="TH SarabunPSK"/>
          <w:sz w:val="32"/>
          <w:szCs w:val="32"/>
          <w:cs/>
        </w:rPr>
        <w:t>และอาจส่งผลต่อความต้องการใช้เหล็ก อย่างไรก็ตาม การเร่งก่อสร้างโครงการภาครัฐ รัฐวิสาหกิจ และภาคเอกชนตามการฟื้นตัวของภาคการท่องเที่ยว คาดว่าจะเป็นปัจจัยสนับสนุนการขยายตัวของอุตสาหกรรมเหล็กในประเทศ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อุตสาหกรรมอิเล็กทรอนิกส์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ลิตจะหดตัวเล็กน้อยประมาณร้อยละ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1.0-3.0 เนื่องจากต้นทุนการผลิตที่สูง อาจส่งผลต่อความสามารถในการผลิตของผู้ประกอบการไทย และ ความไม่แน่นอนของเศรษฐกิจโลกและประเทศคู่ค้า เช่น จีน และสหรัฐอเมริกา เป็นต้น แต่อย่างไรก็ตามนโยบายการสนับสนุนและส่งเสริมการลงทุนในอุตสาหกรรม 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Smart Electronics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อาจจะส่งผลดีต่อการผลิตชิ้นส่วนอิเล็กทรอนิกส์ของไทย ในขณะที่มูลค่าการส่งออกจะยังขยายตัวได้ต่อเนื่องประมาณร้อยละ 3.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การเติบโตอย่างต่อเนื่องของอุตสาหกรรมอิเล็กทรอนิกส์ตามความต้องการของตลาดโลกและเทคโนโลยีดิจิทัลที่มีการเปลี่ยนผ่านอย่างรวดเร็ว รวมทั้ง ความต้องการอุปกรณ์นวัตกรรมใหม่ ๆ ของผู้บริโภค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bookmarkStart w:id="14" w:name="_Hlk189331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อุตสาหกรรมยางและผลิตภัณฑ์ยาง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ปริมาณกา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>รผลิตยางแปรรูปขั้นปฐม (ยางแผ่น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ยางแท่ง และน้ำยางข้น) ยางรถยนต์ และถุงมือยาง จะขยายตัว ทั้ง 3 ผลิตภัณฑ์ โดยยางแปรรูปขั้นปฐมจะขยายตัวจากความ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ต้องการของอุตสาหกรรมต่อเนื่องทั้งในประเทศและต่างประเทศ ยางรถยนต์จะขยายตัวจากแนวโน้มความต้องการที่เพิ่มขึ้นในตลาดสำคัญ อาทิ สหรัฐอเมริกา ออสเตรเลีย และเกาหลีใต้ ขณะที่ถุงมือยางจะขยายตัวจากการผลิตเพื่อตอบสนองอุปสงค์ความต้องการของตลาดในประเทศเป็นหลัก</w:t>
      </w:r>
    </w:p>
    <w:p w:rsidR="003C25EA" w:rsidRPr="00194BB4" w:rsidRDefault="003C25EA" w:rsidP="003C25EA">
      <w:pPr>
        <w:pStyle w:val="ListParagraph"/>
        <w:tabs>
          <w:tab w:val="left" w:pos="567"/>
        </w:tabs>
        <w:spacing w:after="0" w:line="32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194B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อุตสาหกรรมอาหาร</w:t>
      </w:r>
      <w:r w:rsidRPr="00194BB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คาดว่าดัชนีผลผลิตในภาพรวมมีแ</w:t>
      </w:r>
      <w:r w:rsidR="003C4BA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นวโน้มขยายตัว เมื่อเทียบกับ </w:t>
      </w:r>
      <w:r w:rsidRPr="00194BB4">
        <w:rPr>
          <w:rFonts w:ascii="TH SarabunPSK" w:hAnsi="TH SarabunPSK" w:cs="TH SarabunPSK"/>
          <w:color w:val="000000"/>
          <w:sz w:val="32"/>
          <w:szCs w:val="32"/>
          <w:cs/>
        </w:rPr>
        <w:t>ไตรมาสเดียวกันของปีก่อน โดยมีปัจจัยสนับสนุนจากมาตรการของภาครัฐที่ช่วยกระตุ้นอุปสงค์ภายในประเทศ รวมถึงจำนวนนักท่องเที่ยวที่มีแนวโน้มเพิ่มขึ้น ในส่วนของภาคการส่งออกมีแนวโน้มขยายตัว จากความต้องการสินค้าของประเทศคู่ค้า เพื่อความมั่นคงด้านอาหาร อย่างไรก็ตาม ยังคงต้องติดตามสถานการณ์เศรษฐกิจโลก  ที่ยังคงชะลอตัว ปัญหาความขัดแย้งทางภูมิรัฐศาสตร์ในหลายประเทศ รวมถึงผลกระทบจากภัยแล้งที่อาจรุนแรงขึ้น</w:t>
      </w:r>
      <w:bookmarkEnd w:id="14"/>
    </w:p>
    <w:p w:rsidR="003C25EA" w:rsidRPr="00194BB4" w:rsidRDefault="003C25EA" w:rsidP="003C25EA">
      <w:pPr>
        <w:tabs>
          <w:tab w:val="left" w:pos="567"/>
        </w:tabs>
        <w:spacing w:after="0" w:line="320" w:lineRule="exact"/>
        <w:ind w:right="-23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3C25EA" w:rsidRPr="00194BB4" w:rsidRDefault="00905327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7920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รายงานภาวะและแนวโน้มเศรษฐกิจไทยประจำไตรมาสที่ 4 ปี 2566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คณะรัฐมนตรีรับทราบตามที่กระทรวงการคลัง (กค.) เสนอรายงานและภาวะและแนวโน้มเศรษฐกิจไทยประจำไตรมาสที่ 4 ปี 2566 ของคณะกรรมการนโยบายการเงิน (กนง.) (ธนาคารแห่งประเทศไทยแจ้งว่า รายงานฉบับนี้ใช้ข้อมูลล่าสุดถึงวันที่ 27 พฤศจิกายน 2566 ก่อนการประชุม กนง.)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1. รายงานภาวะและแนวโน้มเศรษฐกิจไทยประจำไตรมาสที่ 4 ปี 2566 มีสาระสำคัญสรุปได้ ดังนี้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เศรษฐกิจโลก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เศรษฐกิจประเทศคู่ค้าของไทยมีแนวโน้มขยายตัวในอัตราร้อยละ 2.8 ร้อยละ 2.6 และร้อยละ 2.7 ในปี 2566 ปี  2567 และปี 2568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ตามลำดับ โดยเศรษฐกิจสหรัฐอเมริกาขยายตัวตามแรงส่งจากการบริโภคภาคเอกชน ขณะที่เศรษฐกิจจีนและญี่ปุ่นมีแนวโน้มขยายตัวดีขึ้นในปี 2567 ในภาพรวมเศรษฐกิจโลกจึงอยู่ในทิศทางฟื้นตัว ซึ่งเริ่มเห็นการฟื้นตัวของภาคบริการและภาคการผลิตที่ปรับเข้าสู่สมดุลมากขึ้น โดยภาคการผลิตมีแนวโน้มกลับมาฟื้นตัวได้ตามวัฏจักรอิเล็กทรอนิกส์ (ความต้องการสินค้าอิเล็กทรอนิกส์) ของโลกที่คาดว่าจะปรับตัวดีขึ้นในปี 2567 ทั้งนี้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เศรษฐกิจโลกยังมีความเสี่ยง</w:t>
      </w:r>
      <w:r w:rsidRPr="00194BB4">
        <w:rPr>
          <w:rFonts w:ascii="TH SarabunPSK" w:hAnsi="TH SarabunPSK" w:cs="TH SarabunPSK"/>
          <w:sz w:val="32"/>
          <w:szCs w:val="32"/>
          <w:cs/>
        </w:rPr>
        <w:t>จากผลของการส่งผ่านนโยบายการเงินที่เข้มงวดของธนาคารกลางหลัก ทั้งการปรับอัตราดอกเบี้ยในช่วงที่ผ่านมาและความเสี่ยงที่อัตราดอกเบี้ยอาจปรับเพิ่มขึ้น และการค้าโลกที่อาจชะลอตัวมากกว่าที่คาดตามอุปสงค์ (</w:t>
      </w:r>
      <w:r w:rsidRPr="00194BB4">
        <w:rPr>
          <w:rFonts w:ascii="TH SarabunPSK" w:hAnsi="TH SarabunPSK" w:cs="TH SarabunPSK"/>
          <w:sz w:val="32"/>
          <w:szCs w:val="32"/>
        </w:rPr>
        <w:t>demand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 ของประเทศจีน รวมถึงความขัดแย้งด้านภูมิรัฐศาสตร์ที่ยังยืดเยื้อ โดยเฉพาะความขัดแย้งระหว่างสหรัฐอเมริกา – จีน ที่อาจรุนแรงขึ้นรวมทั้งความขัดแย้งระหว่างจีน – ไต้หวัน รัสเซีย – ยูเครน และอิสราเอล – ฮามาส ที่อาจยืดเยื้อและรุนแรงกว่าที่คาด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1.2 เศรษฐกิจไทย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เศรษฐกิจไทยมีแนวโน้มขยายตัวที่ร้อยละ 2.4 ร้อยละ 3.2 และร้อยละ 3.1 ในปี 2566 ปี 2567 และปี 2568 ตามลำดับ สำหรับปี 2566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ศรษฐกิจฟื้นตัวโดยได้รับแรงส่งจากการบริโภคภาคเอกชนที่ขยายตัวดีตามการใช้จ่ายในหมวดบริการรวมทั้งแรงสนับสนุนจากการจ้างงานและรายได้แรงงานที่ปรับตัวดีขึ้น ขณะที่ภาคการท่องเที่ยวฟื้นตัวช้ากว่าที่คาดจากนักท่องเที่ยวจีนที่ฟื้นตัวช้า ส่วนภาคการส่งออกฟื้น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4BB4">
        <w:rPr>
          <w:rFonts w:ascii="TH SarabunPSK" w:hAnsi="TH SarabunPSK" w:cs="TH SarabunPSK"/>
          <w:sz w:val="32"/>
          <w:szCs w:val="32"/>
          <w:cs/>
        </w:rPr>
        <w:t>ตัวช้ากว่าที่คาด ส่วนหนึ่งมาจากเศรษฐกิจจีนและวัฏจักรอิเล็กทรอนิกส์โลกที่ยัง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194BB4">
        <w:rPr>
          <w:rFonts w:ascii="TH SarabunPSK" w:hAnsi="TH SarabunPSK" w:cs="TH SarabunPSK"/>
          <w:sz w:val="32"/>
          <w:szCs w:val="32"/>
          <w:cs/>
        </w:rPr>
        <w:t>ฟื้นตัวเต็มที่ ในระยะข้างหน้าเศรษฐกิจมีแนวโน้มขยายตัวสมดุลมากขึ้นภายใต้บริบทที่ภาคการท่องเที่ยวฟื้นตัวต่อเนื่องสอดคล้อง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94BB4">
        <w:rPr>
          <w:rFonts w:ascii="TH SarabunPSK" w:hAnsi="TH SarabunPSK" w:cs="TH SarabunPSK"/>
          <w:sz w:val="32"/>
          <w:szCs w:val="32"/>
          <w:cs/>
        </w:rPr>
        <w:t>บแนวโน้มในอดีต และได้รับผลดีจากมาตรการยกเว้นการตรวจลงตรา (</w:t>
      </w:r>
      <w:r w:rsidRPr="00194BB4">
        <w:rPr>
          <w:rFonts w:ascii="TH SarabunPSK" w:hAnsi="TH SarabunPSK" w:cs="TH SarabunPSK"/>
          <w:sz w:val="32"/>
          <w:szCs w:val="32"/>
        </w:rPr>
        <w:t>visa free</w:t>
      </w:r>
      <w:r w:rsidRPr="00194BB4">
        <w:rPr>
          <w:rFonts w:ascii="TH SarabunPSK" w:hAnsi="TH SarabunPSK" w:cs="TH SarabunPSK"/>
          <w:sz w:val="32"/>
          <w:szCs w:val="32"/>
          <w:cs/>
        </w:rPr>
        <w:t>) ที่ให้กับนักท่องเที่ยวจากอินเดีย ไต้หวัน และคาซัคสถาน รวมถึงภาคการส่องออกสินค้ากลับมาขยายตัวตามอุปสงค์ต่างประเทศที่ปรับตัวดีขึ้นตามการขยายตัวของเศรษฐกิจประเทศคู่ค้าและวัฏจักรขาขึ้นของสินค้าอิเล็กทรอนิกส์ แต่มี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94BB4">
        <w:rPr>
          <w:rFonts w:ascii="TH SarabunPSK" w:hAnsi="TH SarabunPSK" w:cs="TH SarabunPSK"/>
          <w:sz w:val="32"/>
          <w:szCs w:val="32"/>
          <w:cs/>
        </w:rPr>
        <w:t>วามเสี่ยงที่อาจไม่ได้รับประโยชน์จากการฟื้นตัวของเศรษฐกิจโลกเท่าที่คาด ส่วนหนึ่งมาจากปัญหาเชิงโค</w:t>
      </w:r>
      <w:r>
        <w:rPr>
          <w:rFonts w:ascii="TH SarabunPSK" w:hAnsi="TH SarabunPSK" w:cs="TH SarabunPSK"/>
          <w:sz w:val="32"/>
          <w:szCs w:val="32"/>
          <w:cs/>
        </w:rPr>
        <w:t>รงสร้างและความสามารถในการแข่งขัน</w:t>
      </w:r>
      <w:r w:rsidRPr="00194BB4">
        <w:rPr>
          <w:rFonts w:ascii="TH SarabunPSK" w:hAnsi="TH SarabunPSK" w:cs="TH SarabunPSK"/>
          <w:sz w:val="32"/>
          <w:szCs w:val="32"/>
          <w:cs/>
        </w:rPr>
        <w:t>ของภาคการส่งออกไทยที่ลดลง นอกจากนี้ ยัง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94BB4">
        <w:rPr>
          <w:rFonts w:ascii="TH SarabunPSK" w:hAnsi="TH SarabunPSK" w:cs="TH SarabunPSK"/>
          <w:sz w:val="32"/>
          <w:szCs w:val="32"/>
          <w:cs/>
        </w:rPr>
        <w:t>ติดตามนโยบายของภาครัฐที่ยังมีความไม่ชัดเจน โดยเฉพาะโครงการกระเป๋าเงินดิจิทัล (</w:t>
      </w:r>
      <w:r w:rsidRPr="00194BB4">
        <w:rPr>
          <w:rFonts w:ascii="TH SarabunPSK" w:hAnsi="TH SarabunPSK" w:cs="TH SarabunPSK"/>
          <w:sz w:val="32"/>
          <w:szCs w:val="32"/>
        </w:rPr>
        <w:t>Digital wallet</w:t>
      </w:r>
      <w:r w:rsidRPr="00194BB4">
        <w:rPr>
          <w:rFonts w:ascii="TH SarabunPSK" w:hAnsi="TH SarabunPSK" w:cs="TH SarabunPSK"/>
          <w:sz w:val="32"/>
          <w:szCs w:val="32"/>
          <w:cs/>
        </w:rPr>
        <w:t>) ซึ่งหากรวมผลของโครงการดังกล่าวคาดว่าอัตราขยายตัวของเศรษฐกิจในปี 2567 และปี 2568 จะอยู่ที่ร้อยละ 3.8 และร้อยละ 2.8 ตามลำดับ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 มูลค่าการส่งออกสินค้าและอัตราเงินเฟ้อ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3C25EA" w:rsidRPr="00194BB4" w:rsidRDefault="003C25EA" w:rsidP="003C4BA5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3C4BA5">
        <w:rPr>
          <w:rFonts w:ascii="TH SarabunPSK" w:hAnsi="TH SarabunPSK" w:cs="TH SarabunPSK"/>
          <w:sz w:val="28"/>
          <w:cs/>
        </w:rPr>
        <w:t>หน่วย : ร้อยละ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EA" w:rsidRPr="00194BB4" w:rsidTr="00010390"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2567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2568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7.1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3.0</w:t>
            </w:r>
          </w:p>
        </w:tc>
      </w:tr>
      <w:tr w:rsidR="003C25EA" w:rsidRPr="00194BB4" w:rsidTr="009075ED">
        <w:trPr>
          <w:trHeight w:val="2608"/>
        </w:trPr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</w:tcPr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 2566 ขยายตัวที่ร้อยละ 7.1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ตามการบริโภคในหมวดบริการเป็นสำคัญ โดยเฉพาะหมวดโรงแรม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และร้านอาหาร ซึ่งสอดคล้องกับตลาด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แรงงานที่ฟื้นตัวสะท้อนจากจำนวนผู้ประกันตนมาตรา 33 ในระบบประกันสังคม จำนวนชั่วโมงทำงาน และรายได้แรงงานที่สูงขึ้นต่อเนื่องโดยเฉพาะภาคบริการที่เกี่ยวข้องกับการท่องเที่ยว</w:t>
            </w:r>
          </w:p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 2567 และปี 2568 คาดว่าจะขยายตัวอยู่ที่ร้อยละ 3.2 และร้อยละ 3.0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ตามการฟื้นตัวของเศรษฐกิจไทย และแรงสนับสนุนจากการจ้างงานและรายได้แรงงานที่มีแนวโน้มเพิ่มขึ้น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มูลค่าการส่งออกสินค้าของไทย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-1.5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</w:tr>
      <w:tr w:rsidR="003C25EA" w:rsidRPr="00194BB4" w:rsidTr="00010390"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หดตัวที่ร้อยละ 1.5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ลดลงจากประมาณการเดิมในไตรมาสที่ 3 ทั้งนี้ การหดตัวของการส่งออกสินค้าดังกล่าวส่วนหนึ่งมาจากเศรษฐกิจจีนและวัฏจักรอิเล็กทรอนิกส์โลกที่ยังไม่ฟื้นตัวเต็มที่</w:t>
            </w:r>
          </w:p>
          <w:p w:rsidR="003C25EA" w:rsidRPr="00194BB4" w:rsidRDefault="003C25EA" w:rsidP="003C4BA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2567 และปี 2568 คาดว่าจะ</w:t>
            </w: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กลับมาขยายตัวที่ร้อยละ 4.3 และร้อยละ 3.3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ารฟื้นตัวของวัฏจักรอิเล็กทรอนิกส์โลกและการฟื้นตัวของอุปสงค์ในภาคการผลิตของประเทศคู่ค้าที่เพิ่มขึ้น ประกอบกับทิศทางการค้าโลกกลับมาขยายตัวในปี 2566</w:t>
            </w:r>
          </w:p>
        </w:tc>
      </w:tr>
    </w:tbl>
    <w:p w:rsidR="003C25EA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</w:p>
    <w:p w:rsidR="003C25EA" w:rsidRPr="003C4BA5" w:rsidRDefault="003C25EA" w:rsidP="003C25EA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3C4BA5">
        <w:rPr>
          <w:rFonts w:ascii="TH SarabunPSK" w:hAnsi="TH SarabunPSK" w:cs="TH SarabunPSK"/>
          <w:sz w:val="28"/>
          <w:cs/>
        </w:rPr>
        <w:t>หน่วย : ร้อยละ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5EA" w:rsidRPr="00194BB4" w:rsidTr="00010390"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2567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 ปี 2568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อัตราเงินเฟ้อทั่วไป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(อัตราเงินเฟ้อที่ครอบคลุม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ทุกหมวดสินค้าและบริการที่ใช้บริ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โภคทั่วไป)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1.9</w:t>
            </w:r>
          </w:p>
        </w:tc>
      </w:tr>
      <w:tr w:rsidR="003C25EA" w:rsidRPr="00194BB4" w:rsidTr="00010390"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มีแนวโน้มอยู่ในกรอบเป้าหมาย โดยคาดว่าอัตราเงินเฟ้อทั่วไปจะอยู่ที่ร้อยละ 1.3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โดยเป็นการปรับลดลงจากฐานที่สูงในปีก่อนหน้าและปัจจัยชั่วคราว โดยเฉพาะมาตรการช่วยเหลือค่าครองชีพด้านพลังงาน (มาตรการปรับลดค่าไฟและราคาน้ำมันดีเซลของรัฐบาล) และราคาอาหารสดที่ต่ำกว่าคาด</w:t>
            </w:r>
          </w:p>
          <w:p w:rsidR="003C4BA5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2567 และปี 2568 คาดว่าอัตราเงินเฟ้อทั่วไปจะอยู่ที่ร้อยละ 2.0 และร้อยละ 1.9 ตามลำดับ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ตามหมวดพลังงานและหมวดอาหารสดที่จะกลับมาสูงขึ้นในระยะต่อไป อย่างไรก็ตาม หากรวมผลของโครงการกระเป๋าเงินดิจิทัลคาดว่าอัตราเงินเฟ้อทั่วไปในปี 2567 และปี 2568 จะอยู่ที่ร้อยละ 2.2 และ 2.0 ตามลำดับ</w:t>
            </w:r>
          </w:p>
        </w:tc>
      </w:tr>
      <w:tr w:rsidR="003C25EA" w:rsidRPr="00194BB4" w:rsidTr="00010390">
        <w:tc>
          <w:tcPr>
            <w:tcW w:w="2337" w:type="dxa"/>
            <w:vMerge w:val="restart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อัตราเงินเฟ้อพื้นฐาน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(อัตราเงินเฟ้อที่หักราคาสินค้าในหมวดอาหารสดและพลังงานออก)</w:t>
            </w:r>
          </w:p>
        </w:tc>
        <w:tc>
          <w:tcPr>
            <w:tcW w:w="2337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2338" w:type="dxa"/>
          </w:tcPr>
          <w:p w:rsidR="003C25EA" w:rsidRPr="00194BB4" w:rsidRDefault="003C25E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</w:tr>
      <w:tr w:rsidR="003C25EA" w:rsidRPr="00194BB4" w:rsidTr="00010390">
        <w:trPr>
          <w:trHeight w:val="755"/>
        </w:trPr>
        <w:tc>
          <w:tcPr>
            <w:tcW w:w="2337" w:type="dxa"/>
            <w:vMerge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3" w:type="dxa"/>
            <w:gridSpan w:val="3"/>
          </w:tcPr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ในปี 2566 คาดว่าจะทรงตัวอยู่ที่ร้อยละ 1.3</w:t>
            </w:r>
          </w:p>
          <w:p w:rsidR="003C25EA" w:rsidRPr="00194BB4" w:rsidRDefault="003C25EA" w:rsidP="0001039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ในปี 2567 และปี 2568 คาดว่าจะทรงตัวอยู่ที่ร้อยละ 1.2 และ                           ร้อยละ 1.3 ตามลำดับ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ยังต้องติดตามความเสี่ยงจากต้นทุนราคาอาหารที่อาจปรับสูงขึ้นจากปรากฏการณ์เอลนีโญ รวมถึงความไม่แน่นอนของสถานการณ์ความขัดแย้งในตะวันออกกลางที่อาจส่งผลให้ราคาพลังงานโลกปรับตัวสูงขึ้น</w:t>
            </w:r>
          </w:p>
        </w:tc>
      </w:tr>
    </w:tbl>
    <w:p w:rsidR="003C25EA" w:rsidRPr="00194BB4" w:rsidRDefault="009075ED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sz w:val="32"/>
          <w:szCs w:val="32"/>
          <w:cs/>
        </w:rPr>
        <w:tab/>
      </w:r>
      <w:r w:rsidR="003C25EA" w:rsidRPr="00194BB4">
        <w:rPr>
          <w:rFonts w:ascii="TH SarabunPSK" w:hAnsi="TH SarabunPSK" w:cs="TH SarabunPSK"/>
          <w:b/>
          <w:bCs/>
          <w:sz w:val="32"/>
          <w:szCs w:val="32"/>
          <w:cs/>
        </w:rPr>
        <w:t>1.3 ภาวะการเงิน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1.3.1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ภาวะการเงินโดยรวมตึงตัวขึ้นเล็กน้อย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จากต้นทุนการกู้ยืมของภาคเอกชนที่สูงขึ้นตามการส่งผ่านอัตราดอกเบี้ยเงินกู้ของธนาคารพาณิชย์ในช่วงที่ผ่านมา ด้านอัตราผลตอบแทนพันธบัตรระยะปลานกลางและระยะยาวปรับลดลง ตามอัตราผลตอบแทนพันธบัตรสหรัฐอเมริกา ตามการคาดการณ์ทิศทางนโยบายการเงินของธนาคารกลางสหรัฐอเมริกาที่อาจคงอัตราดอกเบี้ยในระดับสูงได้ไม่ยาวนานเท่าที่คาด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ด้านปริมาณการระดมทุน การกู้ยืมของภาคธุรกิจและครัวเรือนไตรมาสที่ 3 มีภาพรวมชะลอลง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โดยสินเชื่อภาคเอกชนชะลอตัวจากการชำระคืนหนี้หลังจากที่ขยายตัวมในอัตราสูงในช่วงวิฤตการระบาดของโรคติดเชื้อไวรัสโคโรนา 2019 (</w:t>
      </w:r>
      <w:r w:rsidRPr="00194BB4">
        <w:rPr>
          <w:rFonts w:ascii="TH SarabunPSK" w:hAnsi="TH SarabunPSK" w:cs="TH SarabunPSK"/>
          <w:sz w:val="32"/>
          <w:szCs w:val="32"/>
        </w:rPr>
        <w:t xml:space="preserve">COVID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94BB4">
        <w:rPr>
          <w:rFonts w:ascii="TH SarabunPSK" w:hAnsi="TH SarabunPSK" w:cs="TH SarabunPSK"/>
          <w:sz w:val="32"/>
          <w:szCs w:val="32"/>
        </w:rPr>
        <w:t>19</w:t>
      </w:r>
      <w:r w:rsidRPr="00194BB4">
        <w:rPr>
          <w:rFonts w:ascii="TH SarabunPSK" w:hAnsi="TH SarabunPSK" w:cs="TH SarabunPSK"/>
          <w:sz w:val="32"/>
          <w:szCs w:val="32"/>
          <w:cs/>
        </w:rPr>
        <w:t>) เป็นสำคัญ ประกอบกับการสิ้นสุดของมาตรการช่วยเหลือทางการเงิน อย่างไรก็ดี สินเชื่อธุรกิจมีแนวโน้มฟื้นตัวสอดคล้องกับกิจกรรมทางเศรษฐกิจในระยะต่อไป โดยความต้องการสินเชื่อในไตรมาส 4 ปี 2566 มีแนวโน้มเพิ่มขึ้นอย่างต่อเนื่องสอดคล้องกับการฟื้นตัวของเศรษฐกิจ ความต้องการใช้จ่ายเพื่อการบริโภคและความเชื่อมั่นของผู้บริโภคที่ปรับตัวดีขึ้นต่อเนื่อง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1.3.3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ด้านอัตราแลกเปลี่ยนในไตรมาสที่ 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 2566 ค่าเงินบาท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เฉลี่ยอยู่ที่ 36.01 บาท ต่อดอลลาร์สหรัฐ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ซึ่งอ่อนค่าจากค่าเฉลี่ยไตรมาสก่อนที่ 35.17 บาทต่อดอลลาร์สหรัฐ โดยเงินบาทเคลื่อนไหวตามการคาดการณ์การดำเนินนโยบายการเงินของธนาคารกลางสหรัฐอเมริกาเป็นสำคัญ ประกอบกับข้อมูลเศรษฐกิจไทยที่ต่ำกว่าคาด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ทั้งนี้ เงินทุนเคลื่อนย้ายระหว่างประเทศในไตรมาสที่ 4 ไหลเข้าสุทธิในตลาดตราสารหนี้และไหลออกสุทธิจากตลาดตราสารทุน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 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การดำเนินนโยบายการเงินในช่วงไตรมาสที่ 4 ปี 2566 </w:t>
      </w:r>
    </w:p>
    <w:p w:rsidR="003C25EA" w:rsidRPr="00194BB4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1.4.1 ในการประชุมเมื่อวันที่ 29 พฤศจิกายน 2566 กนง. มีมติเป็นเอกฉันท์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ให้คงอัตราดอกเบี้ยนโยบายร้อยละ 2.50 ต่อปี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เนื่องจาก กนง. ประเมินว่าอัตราดอกเบี้ยนโยบายที่ระดับปัจจุบันเหมาะสมกับบริบทที่เศรษฐกิจกำลังทยอยฟื้นตัวกลับสู่ระดับศักยภาพและเอื้อให้เงินเฟ้ออยู่ในกรอบเป้าหมายอย่างยั่งยืน พร้อมทั้งเสริมสร้า</w:t>
      </w:r>
      <w:r>
        <w:rPr>
          <w:rFonts w:ascii="TH SarabunPSK" w:hAnsi="TH SarabunPSK" w:cs="TH SarabunPSK"/>
          <w:sz w:val="32"/>
          <w:szCs w:val="32"/>
          <w:cs/>
        </w:rPr>
        <w:t>งเสถียรภาพเศรษฐกิจการเงินในระยะย</w:t>
      </w:r>
      <w:r w:rsidRPr="00194BB4">
        <w:rPr>
          <w:rFonts w:ascii="TH SarabunPSK" w:hAnsi="TH SarabunPSK" w:cs="TH SarabunPSK"/>
          <w:sz w:val="32"/>
          <w:szCs w:val="32"/>
          <w:cs/>
        </w:rPr>
        <w:t>าวและป้องกันการสะสมความไม่สมดุลทางการเงิน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รวมถึงรักษาขีดความสามารถของนโยบายการเงินในการรองรับความไม่แน่นอนในระยะข้างหน้า ทั้งนี้การดำเนินนโยบายการเงินในระยะข้างหน้า กนง. จะพิจารณาให้เหมาะสมกับแนวโน้มและความเสี่ยงต่อเศรษฐกิจและเงินเฟ้อต่อไป</w:t>
      </w:r>
    </w:p>
    <w:p w:rsidR="005F667A" w:rsidRDefault="003C25EA" w:rsidP="003C25E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1.4.2 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>ระบบการเงินไทยโดยรวมยังมีเสถียรภาพ</w:t>
      </w:r>
      <w:r w:rsidRPr="00194BB4">
        <w:rPr>
          <w:rFonts w:ascii="TH SarabunPSK" w:hAnsi="TH SarabunPSK" w:cs="TH SarabunPSK"/>
          <w:sz w:val="32"/>
          <w:szCs w:val="32"/>
          <w:cs/>
        </w:rPr>
        <w:t>อย่างไรก็ดี ยังคงต้องติดตามพัฒนาการของคุณภาพสินเชื่อที่อาจได้รับแรงกดดันจากความสามารถในการชำระหนี้ของผู้ประกอบการวิสาหกิจขนาดกลางและขนาดย่อม (</w:t>
      </w:r>
      <w:r w:rsidRPr="00194BB4">
        <w:rPr>
          <w:rFonts w:ascii="TH SarabunPSK" w:hAnsi="TH SarabunPSK" w:cs="TH SarabunPSK"/>
          <w:sz w:val="32"/>
          <w:szCs w:val="32"/>
        </w:rPr>
        <w:t>Small and Medium Enterprises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4BB4">
        <w:rPr>
          <w:rFonts w:ascii="TH SarabunPSK" w:hAnsi="TH SarabunPSK" w:cs="TH SarabunPSK"/>
          <w:sz w:val="32"/>
          <w:szCs w:val="32"/>
        </w:rPr>
        <w:t>SMEs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 และภาคครัวเรือนบางส่วนยังเปราะบางจากภาระหนี้ที่สูงขึ้นและรายได้ที่ฟื้นตัวช้า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C4BA5" w:rsidRPr="003C4BA5" w:rsidRDefault="00905327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7920E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C4BA5"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ผลการประชุมคณะกรรมการบริหารสถานการณ์ฉุกเฉิน ครั้งที่ 2/2567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อำเภอแว้ง และอำเภอสุคิริน จังหวัดปัตตานี ยกเว้นอำเภอยะหริ่ง อำเภอปะนาเระ อำเภอมายอ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ออกไปอีก 3 เดือน ตั้งแต่วันที่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 เมษายน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 ซึ่งเป็นการขยายระยะเวลาครั้งที่ 76 พร้อมทั้งร่างประกาศฯ รวม 2 ฉบับ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อำเภอทุ่งยางแดง อำเภอกะพ้อ และอำเภอแม่ลาน และจังหวัดยะลา ยกเว้นอำเภอเบตง อำเภอรามัน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อำเภอกาบัง และอำเภอกรงปินัง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รับทราบร่างประกาศ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ข้อเท็จจริงและสาระสำคัญของเรื่อง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สมช. เสนอว่า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รัฐบาลได้ประกาศสถานการณ์ฉุกเฉินที่มีความร้ายแรงในพื้นที่จังหวัดชายแดนภาคใต้ ตั้งแต่วันที่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 กรกฎาคม 2548 เพื่อใช้มาตรการต่าง ๆ ที่บัญญัติไว้ในพระราชกำหนดการบริหารราชการในสถานการณ์ฉุกเฉิน พ.ศ. 2548 เข้าดำเนินการแก้ไขปัญหาความไม่สงบในพื้นที่จังหวัดชายแดนภาคใต้ การคุ้มครองความปลอดภัยในชีวิตและทรัพย์สินทั้งของรัฐและประชาชนภายในเขตพื้นที่การประกาศสถานการณ์ฉุกเฉินที่มีความร้ายแรง โดยได้มีการขยายระยะเวลาการประกาศสถานการณ์ฉุกเฉินที่มีความร้ายแรงในพื้นที่ดังกล่าวมาอย่างต่อเนื่องทุก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เดือน จนถึงปัจจุบัน เป็นคราวที่ 75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สมช. ได้จัดการประชุมคณะกรรมการบริหารสถานการณ์ฉุกเฉินครั้งที่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2567 โดยมีรายละเอียด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กองอำนวยการรักษาความมั่นคงภายในภาค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(กอ.รมน.ภาค 4 ส่วนหน้า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ได้สรุปผลการปฏิบัติงานตามพระราชกำหนดการบริหารราชการในสถานการณ์ฉุกเฉินฯ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เพื่อประกอบการพิจารณาขยายประกาศสถานการณ์ฉุกเฉินฯ ครั้งที่ 76 สรุป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ได้ดังนี้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สถานการณ์การก่อเหตุรุนแรงในพื้นที่สามจังหวัดชายแดนภาคใต้ (จชต.) ในห้วงระยะเวลาตั้งแต่วันที่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ซึ่งเป็นห้วงที่มีการประกาศสถานการณ์ฉุกเฉินที่มีความร้ายแรง ครั้งที่ 75 ปราก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การก่อเหตุรุนแรง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11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เหตุการณ์ เป็นผลให้มีผู้เสียชีวิต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ราย ผู้ได้รับบาดเจ็บ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ราย ฝ่ายความมั่นคงในพื้นที่ประเมินสถานการณ์ที่เกิดขึ้นว่าการก่อเหตุรุนแรงมีแนวโน้มลดลง เมื่อเทียบกับห้วงระยะเวลาก่อนหน้า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ผลการปฏิบัติงานการบังคับใช้กฎหมายว่าด้วยการบริหารราชการในสถานการณ์ฉุกเฉินในพื้นที่ จชต. เจ้าหน้าที่ได้ตรวจค้นและ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ปิ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ดล้อมตรวจค้นในพื้นที่ จชต.จำนวน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3,370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ครั้ง และมีการออกหมายจับตามมาตรา 11 แห่งพระราชกำหนดการบริหารราชการในสถานการณ์ฉุกเฉิน พ.ศ.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หมาย ในด้านสถิติคดีความมั่นคงมีคดีที่เข้าสู่ชั้นพิจารณาคดีของศาล จำนวน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คดี และในด้านสถิติผลคำพิพากษาที่เกิดขึ้นในพื้นที่ จชต.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มีคดีที่เข้าสู่ชั้นพิจารณาคดีของศาล จำนวน 8 คดี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มาตรการลดผลกระทบต่อการประกาศใช้พระราชกำหนด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การบริหาร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ราชการในสถานการณ์ฉุกเฉิน พ.ศ. 2548 แบ่งออกเป็น 2 แนวทาง ได้แก่ </w:t>
      </w:r>
      <w:r w:rsidRPr="003C4BA5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</w:t>
      </w:r>
      <w:r w:rsidRPr="003C4BA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ทางที่ 1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การสร้างความโปร่งใสในการปฏิบัติการ โดยนำภาคประชาชนและสื่อมวลชนเข้ามามีส่วนร่วมหรือรับทราบการปฏิบัติของเจ้าหน้าที่ และ</w:t>
      </w:r>
      <w:r w:rsidRPr="003C4BA5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แนวทางที่ 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การสร้างความโปร่งใสในการจับกุมและควบคุมตัวเพื่อให้เกิดความเชื่อมั่นและไว้วางใจจากประชาชน และให้คลายความวิตกกังวลของญาติผู้ถูกควบคุมตัว รวมทั้งการสร้างความโปร่งใสในการออกคำสั่งเรียกตามพระราชกำหนดการบริหารราชการในสถานการณ์ฉุกเฉิน พ.ศ. 2548 โดยปรับปรุงการออกคำสั่งเรียกให้มีรูปแบบที่โปร่งใสและเป็นที่ยอมรับของประชาชน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การประเมินผลการประกาศใช้พระราชกำหนดการบริหารสถานการณ์ฉุกเฉิน พ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ศ. 2548 มหาวิทยาลัยสงขลานครินทร์ ได้ประเมินผลจากกลุ่มตัวอย่างภาคประชาชน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ข้าราชการและเจ้าหน้าที่รัฐพบว่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ส่วนใหญ่เห็นด้วยต่อการประกาศใช้พระราชกำหนดฯ คิดเป็นร้อยละ 66.80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ข้อดีและข้อเสียจากการปรับลดพระราชกำหนดการบริหารราชการในสถานการณ์ฉุกเฉินฯ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(5.1)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ข้อดีจากการบังคับใช้พระราชกำหนดการบริหารราชการในสถานการณ์ฉุกเฉินฯ มีการรวมศูนย์อำนาจในการแก้ไขสถานการณ์เพื่อให้เกิดความรวดเร็วและมีประสิทธิภาพ ซึ่งเป็นการบูรณาการกำลังทั้ง 3 ฝ่าย ประกอบด้วย ฝ่ายพลเรือน ตำรวจ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และทหาร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ทั้งนี้ พนักงานเจ้าหน้าที่จะได้รับการคุ้มครองเมื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อปฏิบัติตามหน้า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โดยสุจริต ไม่เลือกป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ฏิบัติ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และไม่เกินสมควรแก่เหตุหรือเกินกรณีที่จำเป็น อีกทั้งมีบทบัญญัติที่เปิดให้พนักงานเจ้าหน้าที่ใช้อำนาจในการควบคุมตัวผู้กระทำความผิดได้มากกว่ากฎหมายปกติ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(5.2)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ข้อเสียจากการบังคับใช้พระราชกำหนดการบริหารราชการในสถานการณ์ฉุกเฉินฯ การใช้อำนาจของพนักงานเจ้าหน้าที่มีระยะเวลาและพื้นที่จำกัดในการดำเนินการ ซึ่งการใช้อำนาจตามกฎหมายดังกล่าวมีขั้นตอนในการปฏิบัติ อาทิ การออกประกาศคำสั่ง ทำให้การแก้ไขปัญหาในบางกรณีอาจไม่ทันการณ์ กฎหมายไม่มีข้อบัญญัติที่จะชดเชยให้กับผู้บริสุทธิ์ที่ได้รับผลกระทบจากการปฏิบัติงานของพนักงานเจ้าหน้าที่อีกทั้งเป็นกฎหมายที่อาจก่อให้เกิดปัญหาในเรื่องการละเมิดสิทธิมนุษยชนอันอาจส่งผลกระทบต่อภาพลักษณ์ของประเทศ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ปัจจุบันภายใต้พระราชกำหนดการบริหารราชการในสถานการณ์ฉุกเฉิน พ.ศ.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ยังคงมีพื้นที่ประกาศสถานการณ์ฉุกเฉินในพื้นที่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จังหวัดชายแดนภาคใต้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รวม 18 อำเภอ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20"/>
        <w:gridCol w:w="2603"/>
        <w:gridCol w:w="3089"/>
        <w:gridCol w:w="2382"/>
      </w:tblGrid>
      <w:tr w:rsidR="003C4BA5" w:rsidRPr="003C4BA5" w:rsidTr="00010390">
        <w:tc>
          <w:tcPr>
            <w:tcW w:w="1555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จังหวัด</w:t>
            </w:r>
          </w:p>
        </w:tc>
        <w:tc>
          <w:tcPr>
            <w:tcW w:w="2693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พื้นที่ภายใต้ พ.ร.ก.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การบริหารราชการ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ในสถานการณ์ฉุกเฉิน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พ.ศ. 48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(จำนวนอำเภอ)</w:t>
            </w:r>
          </w:p>
        </w:tc>
        <w:tc>
          <w:tcPr>
            <w:tcW w:w="3198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พื้นที่ภายใต้ พ.ร.บ.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การรักษาความมั่นคงภายใน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ราชอาณาจักร พ.ศ. 51</w:t>
            </w:r>
          </w:p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(จำนวนอำเภอ)</w:t>
            </w:r>
          </w:p>
        </w:tc>
        <w:tc>
          <w:tcPr>
            <w:tcW w:w="2482" w:type="dxa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จำนวนอำเภอทั้งหมด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นราธิวาส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9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13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ปัตตานี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5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7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12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lastRenderedPageBreak/>
              <w:t>ยะลา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8</w:t>
            </w:r>
          </w:p>
        </w:tc>
      </w:tr>
      <w:tr w:rsidR="003C4BA5" w:rsidRPr="003C4BA5" w:rsidTr="00010390">
        <w:tc>
          <w:tcPr>
            <w:tcW w:w="1555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สงขลา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-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4</w:t>
            </w:r>
          </w:p>
        </w:tc>
        <w:tc>
          <w:tcPr>
            <w:tcW w:w="2482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</w:rPr>
            </w:pPr>
            <w:r w:rsidRPr="003C4BA5">
              <w:rPr>
                <w:rFonts w:eastAsia="Calibri" w:hint="cs"/>
                <w:cs/>
              </w:rPr>
              <w:t>16</w:t>
            </w:r>
          </w:p>
        </w:tc>
      </w:tr>
      <w:tr w:rsidR="003C4BA5" w:rsidRPr="003C4BA5" w:rsidTr="00010390">
        <w:tc>
          <w:tcPr>
            <w:tcW w:w="1555" w:type="dxa"/>
            <w:vMerge w:val="restart"/>
            <w:vAlign w:val="bottom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2693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18</w:t>
            </w:r>
          </w:p>
        </w:tc>
        <w:tc>
          <w:tcPr>
            <w:tcW w:w="3198" w:type="dxa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19</w:t>
            </w:r>
          </w:p>
        </w:tc>
        <w:tc>
          <w:tcPr>
            <w:tcW w:w="2482" w:type="dxa"/>
            <w:vMerge w:val="restart"/>
            <w:vAlign w:val="bottom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49</w:t>
            </w:r>
          </w:p>
        </w:tc>
      </w:tr>
      <w:tr w:rsidR="003C4BA5" w:rsidRPr="003C4BA5" w:rsidTr="00010390">
        <w:tc>
          <w:tcPr>
            <w:tcW w:w="1555" w:type="dxa"/>
            <w:vMerge/>
          </w:tcPr>
          <w:p w:rsidR="003C4BA5" w:rsidRPr="003C4BA5" w:rsidRDefault="003C4BA5" w:rsidP="003C4BA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891" w:type="dxa"/>
            <w:gridSpan w:val="2"/>
            <w:vAlign w:val="center"/>
          </w:tcPr>
          <w:p w:rsidR="003C4BA5" w:rsidRPr="003C4BA5" w:rsidRDefault="003C4BA5" w:rsidP="003C4B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C4BA5">
              <w:rPr>
                <w:rFonts w:eastAsia="Calibri" w:hint="cs"/>
                <w:b/>
                <w:bCs/>
                <w:cs/>
              </w:rPr>
              <w:t>37</w:t>
            </w:r>
          </w:p>
        </w:tc>
        <w:tc>
          <w:tcPr>
            <w:tcW w:w="2482" w:type="dxa"/>
            <w:vMerge/>
          </w:tcPr>
          <w:p w:rsidR="003C4BA5" w:rsidRPr="003C4BA5" w:rsidRDefault="003C4BA5" w:rsidP="003C4BA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ที่ประชุมพิจารณาแล้วเห็นว่า เมื่อวันที่ 22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ได้มีการก่อเหตุรุนแรงพร้อมกัน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42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จุด สะท้อนนัยว่ากลุ่มผู้ก่อเหตุรุนแรงมีขีดความสามารถและมีกำลังคนในการก่อเหตุรุนแรงได้พร้อมกันในหลายพื้นที่ และยังคงปราก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้อมูลทางด้านการข่าวว่ากลุ่มผู้ก่อเหตุเคลื่อนไหวในการลักลอบขนอาวุธและสารประกอบระเบิดเพื่อเตรียมการก่อเหตุในบางพื้นที่ในระยะต่อไปด้วย ดังนั้น เพื่อให้เกิดความต่อเนื่องในการปฏิบัติงานของเจ้าหน้าที่ในการป้องกัน ระงับ และยับยั้งสถานการณ์ในพื้นที่ รวมทั้งเพื่อให้ประชาชนมีความปลอดภัยในชีวิตและทรัพย์สินมากที่สุด โดยเฉพาะอย่างยิ่งการใช้มาตรการในการจับกุม และควบคุมตัวผู้กระทำความผิด เพื่อให้ได้มาซึ่งพยานหลักฐานที่เป็นประโยชน์ต่อการดำเนินคดี จนสามารถนำตัวผู้กระทำความผิดมาดำเนินคดีตามกระบวนการยุติธรรม ตลอดจนเป็นช่องทางในการสร้างความเข้าใจ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บทบาทหน้าที่ในการปฏิบัติงานของเจ้าหน้า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และปรับเปลี่ยนพฤติกรรมให้เกิดทัศนค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ติที่ถูกต้อง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และเป็นเครื่องมือสำคัญในการปฏิบัติงานของเจ้าหน้าที่ในการป้องกัน ระงับ ยับยั้ง สถานการณ์ฉุกเฉินที่มีความร้ายแรงที่เกิดขึ้นในพื้นที่ จึงมีมติให้เสนอคณะรัฐมนตรีพิจารณา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อำเภอสุไหงโก-ลก อำเภอแว้ง และอำเภอสุคิริน จังหวัดปัตตานี ยกเว้นอำเภอยะหริ่ง อำเภอปะนาเระ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อำเภอมายอ อำเภอไม้แก่น อำเภอทุ่งยางแดง อำเภอกะพ้อ และอำเภอแม่ลาน และจังหวัดยะลา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ยกเว้นอำเภอเบตง อำเภอรามัน อำเภอกาบัง และอำเภอกรงปินัง ออกไปอีก 3 เดือนตั้งแต่วันที่ 20 เมษายน 2567 ถึงวันที่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ซึ่งเป็นการขยายระยะเวลาครั้งที่ </w:t>
      </w:r>
      <w:r w:rsidR="00726D3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bookmarkStart w:id="15" w:name="_GoBack"/>
      <w:bookmarkEnd w:id="15"/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C4BA5" w:rsidRPr="003C4BA5" w:rsidRDefault="00905327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7920E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C4BA5" w:rsidRPr="003C4B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ข้อเสนอแนะเพื่อป้องกันการทุจริตเกี่ยวกับนโยบายรัฐบาล กรณีการเติมเงิน 10,000 บาท ผ่าน </w:t>
      </w:r>
      <w:r w:rsidR="003C4BA5" w:rsidRPr="003C4BA5">
        <w:rPr>
          <w:rFonts w:ascii="TH SarabunPSK" w:eastAsia="Calibri" w:hAnsi="TH SarabunPSK" w:cs="TH SarabunPSK"/>
          <w:b/>
          <w:bCs/>
          <w:sz w:val="32"/>
          <w:szCs w:val="32"/>
        </w:rPr>
        <w:t>Digital Wallet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ดังนี้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1. รับทราบความคืบหน้าการดำเนินการตามมติคณะรัฐมนตรี เมื่อวันที่ 20 กุมภาพันธ์ 2567 (เรื่อง ข้อเสนอแนะ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เพื่อป้องกันการทุจริตเกี่ยวกับนโยบายรัฐบาล กรณีการเติมเงิน 10</w:t>
      </w:r>
      <w:r w:rsidRPr="003C4BA5">
        <w:rPr>
          <w:rFonts w:ascii="TH SarabunPSK" w:eastAsia="Calibri" w:hAnsi="TH SarabunPSK" w:cs="TH SarabunPSK"/>
          <w:sz w:val="32"/>
          <w:szCs w:val="32"/>
        </w:rPr>
        <w:t>,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) ตามที่คณะกรรมการนโยบายโครงการเติมเงิน 10,000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(คณะกรรมการนโยบายฯ) เสนอ และแจ้งให้คณะกรรมการ ป.ป.ช. ทราบต่อไป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2. ให้คณะกรรมการนโยบายฯ เร่งดำเนินการตามมติคณะรัฐมนตรี เมื่อวันที่ 20 กุมภาพันธ์ 2567 (เรื่อง ข้อเสนอแนะ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เพื่อป้องกันการทุจริตเกี่ยวกับนโยบายรัฐบาล กรณีการเติมเงิน 10</w:t>
      </w:r>
      <w:r w:rsidRPr="003C4BA5">
        <w:rPr>
          <w:rFonts w:ascii="TH SarabunPSK" w:eastAsia="Calibri" w:hAnsi="TH SarabunPSK" w:cs="TH SarabunPSK"/>
          <w:sz w:val="32"/>
          <w:szCs w:val="32"/>
        </w:rPr>
        <w:t>,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000 บาท ผ่าน </w:t>
      </w:r>
      <w:r w:rsidRPr="003C4BA5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 โดยให้คณะกรรมการนโยบาย ฯ สรุปผลการพิจารณา/ผลการดำเนินการ/ความเห็นในภาพรวม แล้วนำเสนอคณะรัฐมนตรีภายใน 2 สัปดาห์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คณะกรรมการนโยบายฯ รายงานว่า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ในคราวการประชุมคณะกรรมการนโยบายฯ 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1/2567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15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ที่ประชุมได้มีมติ (1) รับทราบสรุปข้อเสนอแนะฯ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ของสำนักงานคณะกรรมการป้องกันและปราบปรามการทุจริตแห่งชาติ (สำนักงาน ป.ป.ช.)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ซึ่งเป็นเอกสารจากการแถลงข่าวของสำนักงาน ป.ป.ช. เมื่อวันที่ 7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โดยมีสาระสำคัญเช่นเดียวกับข้อเสนอแนะฯ ของคณะกรรมการ ป.ป.ช. ที่คณะรัฐมนตรีได้มีมติรับทราบเรื่องดังกล่าว (20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 2567)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) มอบหมายให้ฝ่ายเลขานุการฯ [กระทรวงการคลัง (กค.)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และกระทรวงพาณิชย์] ดำเนินการจัดตั้งคณะทำงานเพื่อรวบรวมข้อเท็จจริงและความเห็นของทุกฝ่ายที่เกี่ยวข้อง โดยรับฟังความคิดเห็นให้รอบคอบและครบถ้วน รวมทั้งรายงานผลการรวบรวมข้อเท็จจริงและความเห็นดังกล่าวเสนอต่อคณะกรรมการนโยบายฯ 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ต่อมานายกรัฐมนตรีได้ลงนามในคำสั่งสำนักนายกรัฐมนตรี 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83/2567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แต่งตั้งคณะทำงานรวบรวมข้อมูล ความเห็น ข้อเท็จจริง และข้อเสนอแนะของทุกภาคส่วนลงวันที่ 23 กุมภาพันธ์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(ปลัดกระทรวงการคลังและปลัดกระทรวงพาณิชย์เป็นประธาน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คณ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ะทำงานร่วม และมีอธิบดีกรมการค้าภายในและผู้อำนวยการสำนักงานเศรษฐกิจ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การคลัง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เป็นเลขานุการคณะทำงานร่วม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โดยมีหน้าที่และอำนาจในการรวบรวมข้อมูล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ความเห็น ข้อเท็จจริงและข้อเสนอแนะของทุกภาคส่วนที่มีความเกี่ยวข้องกับการดำเนินการตามความเห็นของคณะกรรมการกฤษฎีกา ข้อเสนอแนะฯ ของคณะกรรมการ ป.ป.ช. และประเด็นความเห็น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ด้านเศรษฐ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กิจและสภา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วะ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วา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มเป็นอยู่ของภาคธุรกิจและประชาชน เสนอต่อคณะกรรมการ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นโยบายฯ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เพื่อประกอบการพิจารณา และแต่งตั้งคณะที่ปรึกษา เชิญบุคคลที่เกี่ยวข้องมาให้ข้อมูล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ความเห็น ข้อเท็จจริง และข้อเสนอแนะ รวมทั้งส่งเอกสารหลักฐานที่เกี่ยวข้องเพื่อประกอบการพิจารณาด้วย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3C4BA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 </w:t>
      </w:r>
      <w:r w:rsidRPr="003C4BA5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คณะทำงานรวบรวมข้อมูล ความเห็น ข้อเท็จจริง และข้อเสนอแนะของทุกภาคส่วน (คณะทำงานฯ)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ในการประชุมคณะทำงานฯ ครั้งที่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1/2567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15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มีมติเห็นชอบในหลักการของประเด็นคำถามเพื่อใช้สำหรับการรวบรวมข้อมูล ความเห็น ข้อเท็จจริง และข้อเสนอแนะของทุกภาคส่วนและหน่วยงานต่าง ๆ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และรายชื่อหน่วยงานที่จะขอความอนุเคราะห์ให้ข้อมูล ความเห็น ข้อเท็จจริง และข้อเสนอแนะ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ซึ่งคณะทำงานฯ อยู่ระหว่างการดำเนินการรวบรวมข้อมูล</w:t>
      </w:r>
      <w:r w:rsidRPr="003C4BA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ตามมติที่ประชุมดังกล่าว</w:t>
      </w:r>
      <w:r w:rsidRPr="003C4B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4BA5">
        <w:rPr>
          <w:rFonts w:ascii="TH SarabunPSK" w:eastAsia="Calibri" w:hAnsi="TH SarabunPSK" w:cs="TH SarabunPSK"/>
          <w:sz w:val="32"/>
          <w:szCs w:val="32"/>
          <w:cs/>
        </w:rPr>
        <w:t>ทั้งนี้ หากดำเนินการเรียบร้อยแล้ว จะเสนอผลการรวบรวมข้อมูลดังกล่าวเพื่อให้คณะกรรมการนโยบายฯ พิจารณาต่อไป</w:t>
      </w:r>
    </w:p>
    <w:p w:rsidR="003C4BA5" w:rsidRPr="003C4BA5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BA5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3C4BA5" w:rsidRPr="00DF200E" w:rsidRDefault="003C4BA5" w:rsidP="003C4BA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F200E">
        <w:rPr>
          <w:rFonts w:ascii="TH SarabunPSK" w:eastAsia="Calibri" w:hAnsi="TH SarabunPSK" w:cs="TH SarabunPSK"/>
          <w:sz w:val="28"/>
          <w:vertAlign w:val="superscript"/>
          <w:cs/>
        </w:rPr>
        <w:t xml:space="preserve">* </w:t>
      </w:r>
      <w:r w:rsidRPr="00DF200E">
        <w:rPr>
          <w:rFonts w:ascii="TH SarabunPSK" w:eastAsia="Calibri" w:hAnsi="TH SarabunPSK" w:cs="TH SarabunPSK" w:hint="cs"/>
          <w:sz w:val="28"/>
          <w:cs/>
        </w:rPr>
        <w:t>กค. ในฐานะฝ่ายเลขานุการคณะกรรมการนโยบายฯ แจ้งว่า ได้กำหนดให้หน่วยงานต่าง ๆ ที่เกี่ยวข้องส่งข้อมูล ความเห็น ข้อเท็จจริง และข้อเสนอแนะมายังคณะทำงานฯ ภายในวันที่ 29 มีนาคม 2567 จากนั้นจะเสนอผลการรวบรวมข้อมูลดังกล่าวต่อที่ประชุมคณะทำงานฯ และคณะกรรมการนโยบายฯ พิจารณาตามลำดับก่อนนำเสนอคณะรัฐมนตรีต่อไป</w:t>
      </w:r>
    </w:p>
    <w:p w:rsidR="003C4BA5" w:rsidRDefault="003C4BA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2568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คณะรัฐมนตรีมีมติอนุมัติตามความเห็นของสำนักงบประมาณ (สงป.)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อนุมัติงบประมาณสำหรับกองทุนหลักประกันสุขภาพแห่งชาติ ประจำปีงบประมาณ พ.ศ. 2568 ภายในวงเงิน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235,842,800,900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ประกอบด้วย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1.1. ค่าบริการทางการแพทย์เหมาจ่ายรายหัว สำหรับประชาชนผู้มีสิทธิหลักประกันสุขภาพแห่งขาติ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47,157,000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181,297,444,400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15,772,291,400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9.53 คิดเป็นอัตราเหมาจ่ายรายหัว </w:t>
      </w:r>
      <w:r w:rsidRPr="00E93915">
        <w:rPr>
          <w:rFonts w:ascii="TH SarabunPSK" w:eastAsia="Calibri" w:hAnsi="TH SarabunPSK" w:cs="TH SarabunPSK"/>
          <w:sz w:val="32"/>
          <w:szCs w:val="32"/>
        </w:rPr>
        <w:t>3,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844.55 บาทต่อผู้มีสิทธิซึ่งครอบคลุมค่าใช้จ่ายของหน่วยบริการในส่วนเงินเดือนค่าตอบแทนบุคลากร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1.2 ค่าบริการผู้ติดเชื้อเอชไอวีและผู้ป่วยเอดส์ ประกอบด้วย ค่าบริการผู้ติดเชื้อเอชไอวีและผู้ป่วยเอดส์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3,519,721,000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และค่าบริการป้องกันการติดเชื้อเอชไอวี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689,724,500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4,209,445,500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192,349,800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4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>79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ค่าบริการผู้ป่วยไตวายเรื้อรัง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13,506,166,200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698,867,600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>46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ค่าบริการควบคุม ป้องกันและรักษาโรคเรื้อรัง (ผู้ป่วยเบาหวานและความดันโลหิตสูง ผู้ป่วยจิตเวชเรื้อรังในชุมชน และผู้ป่วยโรคหอบหืด) ประกอบด้วย </w:t>
      </w:r>
      <w:r w:rsidRPr="00E93915">
        <w:rPr>
          <w:rFonts w:ascii="TH SarabunPSK" w:eastAsia="Calibri" w:hAnsi="TH SarabunPSK" w:cs="TH SarabunPSK"/>
          <w:sz w:val="32"/>
          <w:szCs w:val="32"/>
        </w:rPr>
        <w:t>3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รายการ ได้แก่ งบบริการควบคุมป้องกันและรักษาผู้ป่วยโรคเบาหวานและความดันโลหิตสูง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1,169,228,400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งบบริการผู้ป่วยจิตเวชเรื้อรังในชุมชน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78,642,000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และงบบริการเพื่อลดการนอนในโรงพยาบาลของผู้ป่วยโรคหืด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93915">
        <w:rPr>
          <w:rFonts w:ascii="TH SarabunPSK" w:eastAsia="Calibri" w:hAnsi="TH SarabunPSK" w:cs="TH SarabunPSK"/>
          <w:sz w:val="32"/>
          <w:szCs w:val="32"/>
        </w:rPr>
        <w:t>Asthma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51,053,900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1,298,924,300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101,308,600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8.46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1.5 ค่าบริการสาธารณสุขเพิ่มเติมสำหรับหน่วยบริการในพื้นที่กันดาร พื้นที่เสี่ยงภัย และพื้นที่จังหวัดชายแดนภาคใต้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1,490,288,000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1.6 ค่าบริการสาธารณสุขเพิ่มเติมสำหรับการบริการระดับปฐมภูมิ ประกอบด้วย             (1) บริการด้วยทีมแพทย์ประจำครอบครัว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236,509,300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(2) บริการที่ร้านยา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249,320,700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(3) บริการตรวจทางห้องปฏิบัติการนอกโรงพยาบาล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695,990,900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(4) บริการสาธารณสุขระบบทางไกล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851,210,000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(5) บริการด้านยาและเวชภัณฑ์สำหรับการจัดส่งยาและเวชภัณฑ์ไปยังผู้ป่วยที่บ้าน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32,945,500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(6) บริการทันตกรรมเคลื่อนที่ วงเงิน 40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,512,000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 (7) ค่าบริการสาธารณสุขสำหรับหน่วยบริการร่วมให้บริการด้านการพยาบาล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73,739,600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2,180,228,000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117,440,100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5.69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1.7 ค่าบริการสาธารณสุขร่วมกับองค์กรปกครองส่วนท้องถิ่น ประกอบด้วย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1.7.1) ค่าบริการสาธารณสุขร่วมกับองค์กรปกครองส่วนท้องถิ่น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2,522,207,000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ลดลงจากปีงบประมาณ พ.ศ. 2567 จำนวน 2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8,394,000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1.11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1.7.2) ค่าบริการสาธารณสุขสำหรับผู้มีภาวะพึ่งพิงในชุมชน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2,900,246,000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139,692,000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5.06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1.7.3) ค่าบริการสาธารณสุขร่วมกับกองทุนฟื้นฟูสมรรถภาพระดับจังหวัด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530,968,000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256,000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0.05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1.8 เงินช่วยเหลือเบื้องต้นผู้รับบริการและผู้ให้บริการที่ได้รับความเสียหายจากการให้บริการ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522,923,000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ลดลงจากปีงบประมาณ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119,885,300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หรือคิดเป็นร้อยละ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18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>65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สำหรับคนไทยทุกคนทุกสิทธิ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66,371,000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25,383,960,500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เพิ่มขึ้นจากปีงบประมาณ พ.ศ. 2567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1,339,915,100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หรือคิดเป็นร้อยละ 5.57 ซึ่งครอบคลุมค่าใช้จ่ายของหน่วยบริการในส่วนเงินเดือนค่าตอบแทนบุคลากร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สำหรับงบประมาณบริหารงานของสำนักงานหลักประกันสุขภาพแห่งชาติ วงเงิน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2,238,836,200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บาท นั้นเห็นสมควรที่คณะรัฐมนตรีจะมอบหมายให้สำนักงบประมาณพิจารณาสนับสนุนงบประมาณรายจ่ายประจำปีให้ตามความจำเป็น เหมาะสม ประหยัดและสอดคล้องกับภารกิจการสร้างหลักประกันสุขภาพถ้วนหน้า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มอบหมายให้คณะกรรมการหลักประกันสุขภาพแห่งชาติ 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เพื่อให้ประชาชนคนไทยทุกคนเข้าถึงบริการสาธารณสุขได้อย่างทั่วถึงและมีประสิทธิถาพ ในด้านการบริการป้องกันการติดเชื้อเอชไอวี บริการสาธารณสุขร่วมกับองค์กรปกครองส่วนท้องถิ่น บริการสาธารณสุขสำหรับผู้ที่มีภาวะพึ่งพิงในชุมชน บริการสาธารณสุขร่วมกับกองทุนฟื้นฟูสมรรถภาพระดับจังหวัด และบริการสร้างเสริมสุขภาพและป้องกันโรค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เป็นไปตามการมอบหมายดังกล่าวด้วย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อนึ่ง เนื่องจากปริมาณการใช้บริการและอัตราค่าใช้จ่ายในการให้บริการแก่ผู้ป่วยของกองทุนหลักประกันสุขภาพแห่งชาติมีแนวโน้มเพิ่มขึ้นอย่างต่อเนื่อง โดยเฉพาะค่าบริการทางการแพทย์เหมาจ่ายรายหัว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อีกทั้งค่าบริการสร้างเสริมสุขภาพและป้องกันโรคสำหรับคนไทยทุกคนทุกสิทธิ ที่มีสัดส่วนคิดเป็นร้อยละ 10.76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ของงบประมาณกองทุนหลักประกันสุขภาพแห่งชาติ ซึ่งเป็นสัดส่วนที่น้อย ดังนั้น  เพื่อไม่ให้เป็นภาระงบประมาณแผ่นดินมากเกินไป จึงเห็นสมควรที่กระทรวงสาธารณสุขจะเร่งดำเนินการและให้ความสำคัญในด้านการส่งเสริมสุขภาพและป้องกันโรคแก่ประชาชนทั่วไปโดยเร่งด่วน เพื่อลดค่าใช้จ่ายในการให้บริการแก่ผู้ป่วยในระยะยาว รวมถึงการป้องกันความเสี่ยงทางการเงิน และพิจารณาให้ความสำคัญกับความพร้อมและศักยภาพของผู้ให้บริการสาธารณสุข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แล่ะมีการติดตามประเมินผลตามตัวชี้วัดที่สะท้อนถึงผลลัพธ์การให้บริการสาธารณสุข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 รวมถึงเพื่อสร้างหลักประกันสุขภาพแห่งชาติให้กับประชาชนในท้องถิ่น และ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พร้อมทั้งให้สำนักงานหลักประกันสุขภาพแห่งชาติบริหารจัดการและตรวจสอบการใช้จ่ายงบประมาณค่ารักษาพยาบาล ในปีงบประมาณ พ.ศ. 2567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ก็เห็นสมควรให้นำเงินดังกล่าวของกองทุนหลักประกันสุขภาพแห่งชาติ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มาสมทบกับงบประมาณรายจ่ายประจำปีงบประมาณ พ.ศ. 2568 เป็นลำดับแรก ทั้งนี้ ขอให้สำนักงานหลักประกันสุขภาพแห่งชาติและหน่วยงานที่เกี่ยวข้อง ดำเนินการตามนัยมาตรา 9 และมาตรา 10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 ตลอดจนปฏิบัติตามกฎหมาย ระเบียบ ข้อบังคับ มติคณะรัฐมนตรี หนังสือเวียนที่เกี่ยวข้องและมาตรฐานของทางราชการให้ถูกต้องครบถ้วนในทุกขั้นตอน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รายละเอียดวงเงินที่ สงป. พิจารณาจัดสรรรแยกตามรายการบริการโดยละเอียด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560"/>
      </w:tblGrid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วงเงินที่ได้รับจัดสรร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(1)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วงเงินข้อเสนอ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2568 (2)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วงเงินที่ สงป. จัดสรร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2568 (3)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ร้อยละที่เพิ่มขึ้น</w:t>
            </w:r>
          </w:p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เทียบกับ (1)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ค่าบริการทางการแพทย์เหมาจ่ายรายหัว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165,525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3,472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24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,506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3,933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81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181,297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(อัตราเหมาจ่ายรายหัว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3,844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55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97.53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ค่าบริการผู้ติดเชื้อเอชไอวีและผู้ป่วยเอดส์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4,017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4,315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4,209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79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 ค่าบริการรักษาผู้ติดเชื้อเอชไอวีและผู้ป่วยเอดส์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3,413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3,519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3,519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 ค่าบริการป้องกันการติดเชื้อเอชไอวี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603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795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689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ค่าบริการผู้ป่วยไตวายเรื้อรัง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12,807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13,506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13,506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ค่าบริการควบคุม ป้องกัน และรักษาโรคเรื้อรัง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1,197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1,298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1,298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 ค่าบริการเพื่อควบคุมป้องกันและรักษาผู้ป่วยเบาหวานและความดันโลหิตสูง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1,123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1,169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1,169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 ค่าบริการผู้ป่วยจิตเวชเรื้อรังในชุมชน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4.3 ค่าบริการผู้ป่วยโรคหืด (รายการใหม่)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ค่าบริการสาธารณสุขเพิ่มเติมสำหรับหน่วยงานบริการในพื้นที่กันดาร/เสี่ยงภัย และพื้นที่จังหวัดชายแดนภาคใต้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,490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1,490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1,490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ค่าบริการสาธารณสุขเพิ่มเติมสำหรับการบริการระดับปฐมภูมิที่มีแพทย์ประจำครอบครัว (ทีม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PHC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2,062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2,274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2,180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6.1 ค่าบริการด้วยทีม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PHC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237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ค่าบริการที่คลินิกการพยาบาลและการผดุงครรภ์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ค่าบริการสาธารณสุขสำหรับหน่วยบริการร่วมให้บริการด้านการพยาบาล (สงป. แจ้งว่าคือรายการบริการเดียวกัน)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119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ค่าบริการรับยาที่ร้านยา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199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6.4 ค่าบริการตรวจทางห้องปฏิบัติการนอกโรงพยาบาล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722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732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695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6.5 ค่าบริการสาธารณสุขระบบทางไกล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865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851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851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6.6 ค่าบริการด้านยาและเวชภัณฑ์สำหรับการจัดส่งยาและเวชภัณฑ์ไปยังผู้ป่วยที่บ้าน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6.7 ค่าบริการทันตกรรมเคลื่อนที่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</w:tr>
      <w:tr w:rsidR="00E93915" w:rsidRPr="00E93915" w:rsidTr="00E93915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ค่าบริการสาธารณสุขร่วมกับ อปท.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7.1 ค่าบริการสาธารณสุขร่วมกับ อปท. 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2,550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2,522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2,522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7.2 ค่าบริการสาธารณสุขสำหรับผู้มีภาวะพึ่งพิงฯ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2,760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3,435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2,900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06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7.3 ค่าบริการสาธารณสุขร่วมกับกองทุนฟื้นฟูสมรรถภาพระดับจังหวัด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530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เงินช่วยเหลือเบื้องต้นผ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ู้รับบริการและผู้ให้บริการ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642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522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422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65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ค่าบริการสร้างเสริมสุขภาพและป้องกันโรค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24,044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25,383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25,383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57</w:t>
            </w:r>
          </w:p>
        </w:tc>
      </w:tr>
      <w:tr w:rsidR="00E93915" w:rsidRPr="00E93915" w:rsidTr="00010390">
        <w:tc>
          <w:tcPr>
            <w:tcW w:w="3539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217,628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418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240,786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417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235,842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56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</w:tr>
    </w:tbl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</w:t>
      </w:r>
      <w:r w:rsidR="008C73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อรับการจัดส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หรืองบประมาณรายจ่ายประจำปีงบประมาณ พ.ศ. 2567 งบกลาง รายการเงินสำรองจ่ายเพื่อกรณีฉุกเฉินหรือจำเป็น แล้วแต่กรณี สำหรับจ้างเหมาบริการนักการภารโรง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หรืองบประมาณรายจ่ายประจำปีงบประมาณ พ.ศ. 2567 งบกลาง รายการเงินสำรองจ่ายเพื่อกรณีฉุกเฉินหรือจำเป็น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618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ล้านบาท แล้วแต่กรณี สำหรับจ้างเหมาบริการนักการภารโรง</w:t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เพื่อให้โรงเรียนสามารถดำเนินการจ้างนักการภารโรงได้ทันก่อนเปิดภาคเรียนในเดือนพฤษภาคม 2567 ตามที่กระทรวงศึกษาธิการ (ศธ.) เสนอ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ศธ. รายงานว่า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สืบเนื่องจากคณะรัฐมนตรีมีมติ (23 กันยายน 2546) เห็นชอบยุทธศาสตร์การปรับกำลังคนภาครัฐ โดยกำหนดให้ทุกส่วนราชการยุบเลิกอัตราลูกจ้างประจำที่ว่างลงจากอัตราเกษียณอายุและว่างลงระหว่างปีทุกตำแหน่ง โดยในส่วนของ ศธ.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(สพฐ</w:t>
      </w:r>
      <w:r w:rsidR="0080710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อัตราส่วนใหญ่ที่ยุบเลิกเป็นตำแหน่งนักการภารโรงที่ สพฐ. ไม่ได้รับจัดสรรอัตราและงบประมาณจ้างทดแทน ส่งผลให้จำนวนนักการภารโรงลดลงอย่างต่อเนื่องตั้งแต่ปี 2546 และครูต้องปฏิบัติหน้าที่อื่น ๆ เพิ่มเติม เช่น การดูแลสถานที่และสภาพแวดล้อมของโรงเรียน รวมถึงการดูแลความปลอดภัยต่าง ๆ ทำให้ครูไม่สามารถจัดการเรียนการสอนได้อย่างมีประสิทธิภาพ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ซึ่งต่อมาคณะรัฐมนตรีมีมติ (23 มกราคม 2567) ให้ ศธ. และส่วนราชการอื่น ๆ ที่มีสถานศึกษาในสังกัดได้รับการยกเว้นการปฏิบัติตามมติคณะรัฐมนตรีเมื่อวันที่ 6 กรกฎาคม 2542 (เรื่อง การปรับปรุง แก้ไข หรือยกเลิกมติคณะรัฐมนตรีเกี่ยวกับการจัดเวรรักษาการณ์ประจำสถานที่ราชการ) ดังนั้น ศธ. จึงมีความจำเป็นต้องจ้างนักการภารโรงให้ครบทุกโรงเรียนเพื่อรักษาความปลอดภัย ดูแลโรงเรียนให้สะอาดและเอื้อต่อการเรียนรู้ของนักเรียน และเพื่อให้ครูสามารถจัดการเรียนการสอนได้อย่างเต็มประสิทธิภาพ รวมทั้งลดภาระและความเสี่ยงของครูและบุคลากรทางการศึกษา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ข้อมูลนักการภารโรงในปัจจุบัน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(ข้อมูล ณ วันที่ 26 มีนาคม 2567)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20"/>
      </w:tblGrid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จำนวนโรงเรียน/นักการภารโรง (โรง/คน)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(1) โรงเรียนในสังกัด สพฐ.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ข้อมูลจากระบบจัดเก็บข้อมูลนักเรียนรายบุคคล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Data management Center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DMC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 วันที่ 10 พฤศจิกายน 2566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28,936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โรงเรียนที่มีนักการภารโรง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/ผู้ปฏิบัติหน้าที่นักการภารโรง โดยสามารถจำแนกผู้ที่ปฏิบัติหน้าที่นักการภารโรงได้ ดังนี้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(2.1) ลูกจ้างประจำที่ปฏิบัติหน้าที่แทนนักการภารโรง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4,384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พนักงานราชการ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ปฏิบัติหน้าที่นักการภารโรง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52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(2.3) นักการภารโรง (จ้างเหมาบริการอัตรา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9,000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บาทต่อเดือน) จำนวน 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10,749 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 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E93915">
              <w:rPr>
                <w:rFonts w:ascii="TH SarabunPSK" w:eastAsia="Calibri" w:hAnsi="TH SarabunPSK" w:cs="TH SarabunPSK"/>
                <w:sz w:val="32"/>
                <w:szCs w:val="32"/>
              </w:rPr>
              <w:t>15,185</w:t>
            </w:r>
            <w:r w:rsidRPr="00E93915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E93915" w:rsidRPr="00E93915" w:rsidTr="00010390">
        <w:tc>
          <w:tcPr>
            <w:tcW w:w="6374" w:type="dxa"/>
          </w:tcPr>
          <w:p w:rsidR="00E93915" w:rsidRPr="00E93915" w:rsidRDefault="00E93915" w:rsidP="00E9391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โรงเรียนที่ขาดแคลน</w:t>
            </w:r>
            <w:r w:rsidRPr="00E939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ผู้ปฏิบัติงานในตำแหน่งนักการภารโรง</w:t>
            </w:r>
          </w:p>
        </w:tc>
        <w:tc>
          <w:tcPr>
            <w:tcW w:w="3220" w:type="dxa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E939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751</w:t>
            </w:r>
          </w:p>
        </w:tc>
      </w:tr>
    </w:tbl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93915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จำนวนโรงเรียนเท่ากับจำนวนนักการภารโรง (1 โรงเรียนมีนักการภารโรง 1 คน)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**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ลูกจ้างประจำและพนักงานราชการเป็นการใช้งบประมาณจากบุคลากร และลูกจ้างจ้างเหมาบริการเป็นการใช้งบประมาณจากงบรายจ่ายอื่นของ ศธ. ตามร่างพระราชบัญญัติงบประมาณรายจ่ายประจำปีงบประมาณ พ.ศ.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9391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ศธ. ได้มีหนังสือถึงสำนักงบประมาณ (สงป.) เพื่อขอรับการจัดสรรงบประมาณรายจ่ายประจำปีงบประมาณ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สำหรับจ้างเหมาบริการนักการภารโรง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14,210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ระยะเวลา 5 เดือนเพื่อปฏิบัติงานในเดือนพฤษภาคม-กันยายน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รวมวงเงินทั้งสิ้น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639.45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(ใช้ข้อมูลนักการภารโรงที่ขาดแคลน ณ เดือนกุมภาพันธ์ 2567 ในการขอรับจัดสรรงบประมาณ)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ซึ่ง สงป. แจ้งว่านายกรัฐมนตรีได้เห็นชอบให้ ศธ. โดย สพฐ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ใช้จ่ายจากงบประมาณรายจ่ายประจำปีงบประมาณ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องบประมาณรายจ่ายประจำปีบประมาณ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รองจ่าย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เพื่อกรณีฉุกเฉินหรือจำเป็น แล้วแต่กรณี เพื่อเป็นค่าใช้จ่ายในการจ้างเหมาบริการนักการภารโรง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</w:rPr>
        <w:t>3,751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(ตามจำนวนโรงเรียนที่ขาดแคลนนักการภารโรง ณ เดือนมีนาคม </w:t>
      </w:r>
      <w:r w:rsidRPr="00E93915">
        <w:rPr>
          <w:rFonts w:ascii="TH SarabunPSK" w:eastAsia="Calibri" w:hAnsi="TH SarabunPSK" w:cs="TH SarabunPSK"/>
          <w:sz w:val="32"/>
          <w:szCs w:val="32"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ตั้งแต่เดือนพฤษภาคม-กันยายน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รวมระชะเวลา 5 เดือน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618.80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751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อัตรา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</w:rPr>
        <w:t>,000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บาทต่อเดือน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เดือน) โดยเบิกจ่ายจากงบรายจ่ายอื่น และให้ สพฐ.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จัดทำแผนการปฏิบัติงานและแผนการใช้จ่ายงบประมาณเพื่อทำความตกลงกับ สงป. ตามขั้นตอนต่อไป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เนื่องจากวงเงินดังกล่าวมีจำนวนเกิน 100 ล้านบาท ศธ. โดย สพฐ. จึงต้องขออนุมัติต่อคณะรัฐมนตรีตามระเบียบว่าด้วยการบริหารงบประมาณรายจ่ายงบกลาง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ประโยชน์และผลกระทบ เช่น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ครูสามารถทำหน้าที่หลักในการจัดการเรียนการสอนได้อย่างมีประสิทธิภาพและเป็นการยกระดับคุณภาพการศึกษ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มีนักการภารโรงดูแลสภาพแวดล้อม ระบบสาธารณูปโภคทรัพย์สินของทางราชการ และความปลอดภัยของครูและนักเรียน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93915">
        <w:rPr>
          <w:rFonts w:ascii="TH SarabunPSK" w:eastAsia="Calibri" w:hAnsi="TH SarabunPSK" w:cs="TH SarabunPSK"/>
          <w:sz w:val="28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 xml:space="preserve">การจ้างนักการภารโรงในรูปแบบการจ้างเหมาบริการ เป็นการดำเนินการตามพระราชบัญญัติการจัดซื้อจัดจ้างและการบริหารพัสดุภาครัฐ พ.ศ. 2560 ที่บัญญัติให้งานบริการหมายความว่า งานจ้างเหมาบริการ และมาตรา 56 (2) (ข) บัญญัติให้การจัดซื้อจัดจ้างพัสดุ ให้หน่วยงานของรัฐเลือกใช้วิธีประกาศเชิญชวนทั่วไปก่อน เว้นแต่การจัดซื้อจัดจ้างที่ให้บริการทั่วไปและมีวงเงินจัดซื้อจัดจ้างครั้งหนึ่งไม่เกินวงเงินตามที่กำหนดในกฎกระทรวง เช่น 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 2560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93915">
        <w:rPr>
          <w:rFonts w:ascii="TH SarabunPSK" w:eastAsia="Calibri" w:hAnsi="TH SarabunPSK" w:cs="TH SarabunPSK"/>
          <w:sz w:val="28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>โรงเรียนที่อยู่ระหว่างรอควบรวม/รอยุบเลิก/ถ่ายโอน จะไม่นำมาคำนวณในครั้งนี้ (ประมาณ 315 โรงเรียน)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E93915">
        <w:rPr>
          <w:rFonts w:ascii="TH SarabunPSK" w:eastAsia="Calibri" w:hAnsi="TH SarabunPSK" w:cs="TH SarabunPSK"/>
          <w:sz w:val="28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28"/>
          <w:cs/>
        </w:rPr>
        <w:t xml:space="preserve">พนักงานราชการที่ปฏิบัติหน้าที่นักการภารโรง เป็นตำแหน่งที่ได้รับการจัดสรรตามมติคณะรัฐมนตรี (5 ตุลาคม 2547) เรื่อง การช่วยเหลือลูกจ้างประจำและลูกจ้างชั่วคราวในระบบราชการ ซึ่งให้ลูกจ้างชั่วคราวประเภทที่ 1 (ใช้งบประมาณหมวดค่าตอบแทนบุคลากร) ที่ปฏิบัติงานต่อเนื่องและทำงานในลักษณะประจำเป็นเวลาไม่น้อยกว่า 5 ปี ให้ผู้บังคับบัญชาเจ้าสังกัดบรรจุแต่งตั้งเป็นพนักงานราชการ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การทบทวนวงเงินงบประมาณรายจ่ายประจำปีงบประมาณ พ.ศ. 2568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คณะรัฐมนตรีมีมติเห็นชอบการทบทวนวงเงินงบประมาณรายจ่ายประจำปีงบประมาณ พ.ศ. 2568 ตามที่สำนักงบประมาณเสนอ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มาตรา 15 แห่งพระราชบัญญัติวินัยการเงินการคลังของรัฐ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กำหนดให้การจัดทำกรอบวงเงินงบประมาณรายจ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ายประจำปี ให้นำแผนการคลังระยะปานกลางมาประกอบการพิจารณาด้วยและให้คำนึงถึงภาวะเศรษฐกิจของประเทศ ความเป็นธรรมทางสังคม นโยบายงบประมาณ เสถียรภาพและความยั่งยืนทางการคลังของประเทศ ความจำเป็นที่จะต้องใช้จ่าย การจัดเก็บรายได้แผ่นดิน สถานะของหนี้สาธารณะ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และความสามารถในการกู้เงินเพื่อชดเชยการขาดดุลงบประมาณ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มาตรา 24 แห่งพระราชบัญญัติวิธีการงบประมาณ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กำหนดให้ในการจัดทำงบประมาณประจำปี ให้สำนักงบประมาณเป็นหน่วยงานหลักร่วมกับกระทรวงการคลัง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งบประมาณประจำปี ประมาณการรายได้ วงเงินงบประมาณรายจ่าย และวิธีการเพื่อชดเชยการขาดดุลงบประมาณหรือการจัดการในกรณีที่ประมาณการรายได้สูงกว่าวงเงินงบประมาณ เมื่อได้ดำเนินการแล้ว ให้ผู้อำนวยการสำนักงบประมาณเสนอต่อคณะรัฐมนตรีเพื่อพิจารณาให้ความเห็นชอบ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16 มกราคม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เห็นชอบวงเงินงบประมาณรายจ่ายประจำปีงบประมาณ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,600,000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รายได้สุทธิ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2,887,000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ล้านบาทและวงเงินกู้เพื่อชดเขยการขาดดุล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313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2 เมยายน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เห็นชอบแผนการคลังระยะปานกลาง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(ปีงบประมาณ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 ฉบับทบทวน เพื่อให้การดำเนินนโยบายการคลังมีความสอดคล้องกับแนวโน้มการเปลี่ยนแปลงของสถานการณ์เศรษฐกิจในปัจจุบั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>2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เม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ษา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เห็นชอบการปรับปรุงปฏิทินงบประมาณรายจ่ายประจำปีงบประมาณ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2 ที่กำหนดให้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หน่วยงาน ประกอบด้วย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ร่วมกันพิจารณาทบทวนประมาณการรายได้ การปรับปรุงกรอบวงเงินและโครงสร้างงบประมาณรายจ่ายประจำปีงบประมาณ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5 เมยายน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เพื่อนำเสนอคณะรัฐมนตรีให้ความเห็นชอบในวันอังคารที่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9 เมษายน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วงเงินงบประมาณรายจ่ายประจำปีงบประมาณ พ.ศ. 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พื่อดำเนินการตามนัยกฎหมายและมติคณะรัฐมนตรีดังกล่าวข้างต้น สำนักงบประมาณได้จัดให้มีการประชุม </w:t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 xml:space="preserve">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หน่วยงาน เพื่อพิจารณาทบทวนวงเงินงบประมาณรายจ่ายประจำปีงบประมาณ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5 เมษายน 2567 มีข้อสรุปดังนี้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5075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สมมติฐานทางเศรษฐกิจ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เศรษฐกิจไทยในปี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มีแนวโน้มที่จะขยายตัวในช่วงร้อยละ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2.8 - 3.8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3.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) โดยมีปัจจัยสนับสนุนจากการขยายตัวต่อเนื่องของการส่งออกสินค้าตามแนวโน้มการฟื้นตัวของเศรษฐกิจและปริมาณการค้าโลก การขยายตัวของการอุปโภคบริโภคและการลงทุนภาคเอกชน รวมถึงการฟื้นตัวของภาคการท่องเที่ยว อย่างไรก็ตาม ยังมีข้อจำกัดและปัจจัยเสี่ยงที่สำคัญจากความยืดเยื้อของความขัดแย้งเชิงภูมิรัฐศาสตร์ที่อาจส่งผลกระทบต่อเศรษฐกิจโลกและสร้างความผันผวนของตลาดเงินและตลาดทุน รวมถึงการลดลงของแรงขับเคลื่อนด้านการคลังในระยะต่อไป สำหรับเสถียรภาพทางเศรษฐกิจในปี 2568 คาดว่าอัตราเงินเฟ้อในปี 2568 จะอยู่ในช่วงร้อยละ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1.1 - 2.1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(ค่ากลางร้อยละ 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 และดุลบัญชีเดินสะพัดมีแนวโน้มเกินดุลร้อยละ 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ของผลิตภัณฑ์มวลรวมในประเทศ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ประมาณการรายได้รัฐบาล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คาดว่ารัฐบาลจะจัดเก็บรายได้รวม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3,454,400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2542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คงเหลือรายได้สุทธิ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2,887,000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สูงกว่า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ประมาณการรายได้สุทธิปีงบประมาณ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ตามเอกสารงบประมาณที่กำหนดไว้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2,787,000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เป็นจำนวน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3.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นโย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บายงบประมาณ วงเงินและโครงสร้างงบประมาณรายจ่ายประจำปีงบ</w:t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>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จากสมมติฐานทางเศรษฐกิจและประมาณการรายได้รัฐบาลตามข้อ 2.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และข้อ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เพื่อสนับสนุนการฟื้นตัวและส่งเสริมอัตราการขยายตัวทางเศรษฐกิจให้สูงกว่าค่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เฉลี่ยและอัตราการขยายตัวตามศักยภาพ จึงได้กำหนดนโยบายงบประมาณขาดดุลสำหรับปีงบประมาณ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865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ทำให้มีวงเงินงบประมาณรายจ่าย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>,752,700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เพิ่มขึ้นจากร่างพระราชบัญญัติงบประมาณรายจ่ายประจำปีงบประมาณ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ที่กำหนดไว้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3,480,000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เป็นจำนวน 272</w:t>
      </w:r>
      <w:r w:rsidRPr="00E93915">
        <w:rPr>
          <w:rFonts w:ascii="TH SarabunPSK" w:eastAsia="Calibri" w:hAnsi="TH SarabunPSK" w:cs="TH SarabunPSK"/>
          <w:sz w:val="32"/>
          <w:szCs w:val="32"/>
        </w:rPr>
        <w:t>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E93915">
        <w:rPr>
          <w:rFonts w:ascii="TH SarabunPSK" w:eastAsia="Calibri" w:hAnsi="TH SarabunPSK" w:cs="TH SarabunPSK"/>
          <w:sz w:val="32"/>
          <w:szCs w:val="32"/>
        </w:rPr>
        <w:t>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>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โดยมีสาระสำคัญของงบประมาณรายจ่ายประจำปีงบประมาณ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,752,700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โครงสร้างงบประมาณรายจ่าย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ประกอบด้วยประมาณการรายจ่าย ดังต่อไปนี้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รายจ่ายประจำ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2,736,900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>196,431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7.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72.9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ของวงเงินงบประมาณรวม ลดลงจากปีงบประมาณ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ซึ่งมีสัดส่วนร้อยละ 73.0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รายจ่ายเพื่อชดใช้เงินคงคลัง ในปีงบประมาณ 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ไม่มีรายการที่ต้องเสนอตั้งงบประมาณ (ปีงบประมาณ พ.ศ. 2567 ตั้งงบประมาณไว้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118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361.1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รายจ่ายลงทุน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865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2567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155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619.5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21.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23.1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ของวงเงินงบประมาณรวม เพิ่มขึ้นจากปีงบประมาณ พ.ศ. 2567 ซึ่งมีสัดส่วนร้อยละ 20.4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รายจ่ายชำระคืนต้นเงินกู้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150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 พ.ศ. 2567 จำนวน 31</w:t>
      </w:r>
      <w:r w:rsidRPr="00E93915">
        <w:rPr>
          <w:rFonts w:ascii="TH SarabunPSK" w:eastAsia="Calibri" w:hAnsi="TH SarabunPSK" w:cs="TH SarabunPSK"/>
          <w:sz w:val="32"/>
          <w:szCs w:val="32"/>
        </w:rPr>
        <w:t>,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780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26.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 4.0 ของวงเงินงบประมาณรวม เพิ่มขึ้นจากปีงบประมาณ พ.ศ. 2567 ซึ่งมีสัดส่วนร้อยละ 3.4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</w:t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รายได้สุทธิ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2,887,000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เพิ่มขึ้นจากปีงบประมาณ พ.ศ. </w:t>
      </w:r>
      <w:r w:rsidRPr="00E93915">
        <w:rPr>
          <w:rFonts w:ascii="TH SarabunPSK" w:eastAsia="Calibri" w:hAnsi="TH SarabunPSK" w:cs="TH SarabunPSK"/>
          <w:sz w:val="32"/>
          <w:szCs w:val="32"/>
        </w:rPr>
        <w:t>2567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หรือเพิ่มขึ้นร้อยละ 3.6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งบประมาณขาดดุล จำนวน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865,700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เพิ่มขึ้นจากปีงบประมาณ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172</w:t>
      </w:r>
      <w:r w:rsidRPr="00E93915">
        <w:rPr>
          <w:rFonts w:ascii="TH SarabunPSK" w:eastAsia="Calibri" w:hAnsi="TH SarabunPSK" w:cs="TH SarabunPSK"/>
          <w:sz w:val="32"/>
          <w:szCs w:val="32"/>
        </w:rPr>
        <w:t>,700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หรือเพิ่มขึ้นร้อยละ 24.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และคิดเป็นสัดส่วนร้อยละ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4.4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ของผลิตภัณฑ์มวลรวมในประเทศ เพิ่มขึ้นจากปีงบประมาณ พ.ศ. 2567 ซึ่งมีสัดส่วนร้อยละ 3.7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วงเงินงบประมาณรายจ่าย จำนวน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,752,700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ล้านบาท ดังกล่าวเท่ากับกรอบวงเงินตามแผนการคลังระยะปานกลาง (ปีงบประมาณ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2568 - 2571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) ฉบับทบทวน ที่คณะรัฐมนตรีได้มีมติเห็นชอบเมื่อวันที่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เมยายน 2567 สำหรับงบประมาณรายจ่ายลงทุนและงบประมาณรายจ่ายชำระคืนต้นเงินกู้ มีสัดส่วนอยู่ภายในกรอบที่กำหนดตามพระราชบัญญัติวินัยการเงินการคลังของรัฐ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2561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รายละเอียดโครงสร้างงบประมาณรายจ่ายประจำปีงบประมาณ พ.ศ. 2568 ดังนี้</w:t>
      </w:r>
    </w:p>
    <w:p w:rsidR="00E93915" w:rsidRPr="00E93915" w:rsidRDefault="00E93915" w:rsidP="00E93915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93915">
        <w:rPr>
          <w:rFonts w:ascii="TH SarabunPSK" w:eastAsia="Calibri" w:hAnsi="TH SarabunPSK" w:cs="TH SarabunPSK"/>
          <w:sz w:val="28"/>
          <w:cs/>
        </w:rPr>
        <w:t xml:space="preserve">: </w:t>
      </w:r>
      <w:r w:rsidRPr="00E93915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850"/>
        <w:gridCol w:w="1310"/>
        <w:gridCol w:w="1131"/>
        <w:gridCol w:w="921"/>
      </w:tblGrid>
      <w:tr w:rsidR="00E93915" w:rsidRPr="00E93915" w:rsidTr="00010390">
        <w:tc>
          <w:tcPr>
            <w:tcW w:w="2830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โครงสร้างงบประมาณ</w:t>
            </w:r>
          </w:p>
        </w:tc>
        <w:tc>
          <w:tcPr>
            <w:tcW w:w="3402" w:type="dxa"/>
            <w:gridSpan w:val="3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 2567</w:t>
            </w:r>
          </w:p>
        </w:tc>
        <w:tc>
          <w:tcPr>
            <w:tcW w:w="3362" w:type="dxa"/>
            <w:gridSpan w:val="3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 2568</w:t>
            </w:r>
          </w:p>
        </w:tc>
      </w:tr>
      <w:tr w:rsidR="00E93915" w:rsidRPr="00E93915" w:rsidTr="00010390">
        <w:tc>
          <w:tcPr>
            <w:tcW w:w="283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126" w:type="dxa"/>
            <w:gridSpan w:val="2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เพิ่ม/ - ลดจากปี 2566</w:t>
            </w:r>
          </w:p>
        </w:tc>
        <w:tc>
          <w:tcPr>
            <w:tcW w:w="1310" w:type="dxa"/>
            <w:vMerge w:val="restart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052" w:type="dxa"/>
            <w:gridSpan w:val="2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เพิ่ม/ - ลด จากปี </w:t>
            </w:r>
            <w:r w:rsidRPr="00E93915">
              <w:rPr>
                <w:rFonts w:ascii="TH SarabunPSK" w:eastAsia="Calibri" w:hAnsi="TH SarabunPSK" w:cs="TH SarabunPSK"/>
                <w:b/>
                <w:bCs/>
                <w:sz w:val="28"/>
              </w:rPr>
              <w:t>2567</w:t>
            </w:r>
          </w:p>
        </w:tc>
      </w:tr>
      <w:tr w:rsidR="00E93915" w:rsidRPr="00E93915" w:rsidTr="00010390">
        <w:tc>
          <w:tcPr>
            <w:tcW w:w="283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10" w:type="dxa"/>
            <w:vMerge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1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21" w:type="dxa"/>
            <w:vAlign w:val="center"/>
          </w:tcPr>
          <w:p w:rsidR="00E93915" w:rsidRPr="00E93915" w:rsidRDefault="00E93915" w:rsidP="00E9391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1. วงเงินประมาณรายจ่าย 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 xml:space="preserve">    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รายจ่ายประจำ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1.2 รายจ่ายเพื่อชดใช้เงินคงคลัง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    1.3 รายจ่ายลงทุน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- สัดส่วนต่องบประมาณ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1.4 รายจ่ายชำระคืนต้นเงินกู้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- สัดส่วนต่องบประมาณ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3,480,000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2,540,468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6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710,080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118,320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295,000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137,928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20,600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6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18,320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9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5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3,752,700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2,736,900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72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865,700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150,100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272,700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196,431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118,361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155,619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31,780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7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8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7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26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รายได้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2,787,000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297,000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11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2,887,000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100,000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วงเงินกู้เพื่อชดเชยการขาดดุล</w:t>
            </w:r>
          </w:p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- สัดส่วนต่อ 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693,000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2,000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865,700,0</w:t>
            </w:r>
          </w:p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172,700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24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>กรอบวงเงินกู้สูงสุดเพื่อชดเชยการขาดดุลตาม พ.ร.บ.หนี้สาธารณะ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790,656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73,656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870,620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79,964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</w:tr>
      <w:tr w:rsidR="00E93915" w:rsidRPr="00E93915" w:rsidTr="00010390">
        <w:tc>
          <w:tcPr>
            <w:tcW w:w="2830" w:type="dxa"/>
          </w:tcPr>
          <w:p w:rsidR="00E93915" w:rsidRPr="00E93915" w:rsidRDefault="00E93915" w:rsidP="00E93915">
            <w:pPr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 w:hint="cs"/>
                <w:sz w:val="28"/>
                <w:cs/>
              </w:rPr>
              <w:t xml:space="preserve">5. ผลิตภัณฑ์มวลรวมในประเทศ 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GDP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18,655,983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276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734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770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310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19,570,126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13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914,143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921" w:type="dxa"/>
          </w:tcPr>
          <w:p w:rsidR="00E93915" w:rsidRPr="00E93915" w:rsidRDefault="00E93915" w:rsidP="00E9391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E93915">
              <w:rPr>
                <w:rFonts w:ascii="TH SarabunPSK" w:eastAsia="Calibri" w:hAnsi="TH SarabunPSK" w:cs="TH SarabunPSK"/>
                <w:sz w:val="28"/>
              </w:rPr>
              <w:t>4</w:t>
            </w:r>
            <w:r w:rsidRPr="00E9391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3915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</w:tr>
    </w:tbl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 w:hint="cs"/>
          <w:sz w:val="28"/>
          <w:cs/>
        </w:rPr>
        <w:t xml:space="preserve">หมายเหตุ </w:t>
      </w:r>
      <w:r w:rsidRPr="00E93915">
        <w:rPr>
          <w:rFonts w:ascii="TH SarabunPSK" w:eastAsia="Calibri" w:hAnsi="TH SarabunPSK" w:cs="TH SarabunPSK"/>
          <w:sz w:val="28"/>
          <w:cs/>
        </w:rPr>
        <w:t>:</w:t>
      </w:r>
      <w:r w:rsidRPr="00E93915">
        <w:rPr>
          <w:rFonts w:ascii="TH SarabunPSK" w:eastAsia="Calibri" w:hAnsi="TH SarabunPSK" w:cs="TH SarabunPSK"/>
          <w:sz w:val="28"/>
        </w:rPr>
        <w:tab/>
        <w:t>1</w:t>
      </w:r>
      <w:r w:rsidRPr="00E93915">
        <w:rPr>
          <w:rFonts w:ascii="TH SarabunPSK" w:eastAsia="Calibri" w:hAnsi="TH SarabunPSK" w:cs="TH SarabunPSK"/>
          <w:sz w:val="28"/>
          <w:cs/>
        </w:rPr>
        <w:t xml:space="preserve">. </w:t>
      </w:r>
      <w:r w:rsidRPr="00E93915">
        <w:rPr>
          <w:rFonts w:ascii="TH SarabunPSK" w:eastAsia="Calibri" w:hAnsi="TH SarabunPSK" w:cs="TH SarabunPSK" w:hint="cs"/>
          <w:sz w:val="28"/>
          <w:cs/>
        </w:rPr>
        <w:t>โครงสร้างงบประมาณรายจ่ายประจำปีงบประมาณ พ.ศ. 2567 เป็นข้อมูลตามร่างพระราชบัญญัติงบประมาณรายจ่ายประจำปีงบประมาณ พ.ศ. 2567</w:t>
      </w:r>
    </w:p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 w:hint="cs"/>
          <w:sz w:val="28"/>
          <w:cs/>
        </w:rPr>
        <w:t>2. โครงสร้างงบประมาณรายจ่ายประจำปีงบประมาณ พ.ศ. 2568 เป็นข้อมูลตามมติที่ประชุม 4 หน่วยงาน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5 เมษายน 2567</w:t>
      </w:r>
    </w:p>
    <w:p w:rsid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28"/>
        </w:rPr>
      </w:pP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/>
          <w:sz w:val="28"/>
          <w:cs/>
        </w:rPr>
        <w:tab/>
      </w:r>
      <w:r w:rsidRPr="00E93915">
        <w:rPr>
          <w:rFonts w:ascii="TH SarabunPSK" w:eastAsia="Calibri" w:hAnsi="TH SarabunPSK" w:cs="TH SarabunPSK" w:hint="cs"/>
          <w:sz w:val="28"/>
          <w:cs/>
        </w:rPr>
        <w:t>3. ผลิตภัณฑ์มวลรวมในประเทศไทย (</w:t>
      </w:r>
      <w:r w:rsidRPr="00E93915">
        <w:rPr>
          <w:rFonts w:ascii="TH SarabunPSK" w:eastAsia="Calibri" w:hAnsi="TH SarabunPSK" w:cs="TH SarabunPSK"/>
          <w:sz w:val="28"/>
        </w:rPr>
        <w:t>GDP</w:t>
      </w:r>
      <w:r w:rsidRPr="00E93915">
        <w:rPr>
          <w:rFonts w:ascii="TH SarabunPSK" w:eastAsia="Calibri" w:hAnsi="TH SarabunPSK" w:cs="TH SarabunPSK" w:hint="cs"/>
          <w:sz w:val="28"/>
          <w:cs/>
        </w:rPr>
        <w:t>) ตามที่ปรากฏในแผนการคลังระยะปานกลาง (ปีงบประมาณ 2568 - 2571) ฉบับทบทวน</w:t>
      </w:r>
    </w:p>
    <w:p w:rsidR="00E93915" w:rsidRPr="00E93915" w:rsidRDefault="00E93915" w:rsidP="00E93915">
      <w:pPr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28"/>
          <w:cs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905327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93915"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การปรับปรุงปฏิทินงบประมาณรายจ่ายประจำปีงบประมาณ พ.ศ. 2568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การปรับปรุงปฏิทินงบประมาณรายจ่ายประจำปีงบประมาณ พ.ศ. 2568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ตามที่สำนักงบประมาณเสนอ ดังนี้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ตามที่คณะรัฐมนตรีมีมติเมื่อวันที่ 2 เมษายน 2567 ให้ความเห็นชอบการปรับปรุง ปฏิทินงบประมาณรายจ่ายประจำปีงบประมาณ พ.ศ. 2568 ครั้งที่ 2 นั้น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สำนักงบประมาณขอเสนอการปรับปรุงปฏิทินงบประมาณรายจ่ายประจำปีงบประมาณ พ.ศ. 2568 และขั้นตอนการดำเนินงาน เพื่อให้สอดคล้องกับการปรับปรุงกรอบวงเงิน และโครงสร้างงบประมาณรายจ่ายประจำปีงบประมาณ พ.ศ. 2568 ตามที่กระทรวงการคลัง 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ร่วมกันพิจารณาทบทวนการประมาณการรายได้ การปรับปรุงกรอบวงเงินและโครงสร้างงบประมาณรายจ่ายประจำปีงบประมาณ พ.ศ. 2568 ในวันที่ 5 เมษายน 2567 เพื่อนำเสนอคณะรัฐมนตรีพิจารณาให้ความเห็นชอบ โดยมีสาระสำคัญ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การจัดทำงบประมาณ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คณะรัฐมนตรีพิจารณาให้ความเห็นชอบการทบทวนวงเงินงบประมาณรายจ่ายประจำปีงบประมาณ พ.ศ. 2568 และการปรับปรุงปฏิทินงบประมาณรายจ่ายประจำปีงบประมาณ พ.ศ. 2568 ในวันอังคารที่ 9 เมษายน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1.2 หน่วยรับงบประมาณ จัดทำรายละเอียดคำของบประมาณรายจ่ายประจำปี งบประมาณ พ.ศ. 2568 เพิ่มเติม เพื่อให้สอดคล้องกับความจำเป็นเร่งด่วนและสถานการณ์เศรษฐกิจและความมั่นคงของประเทศ โดยให้หน่วยรับงบประมาณเสนอคำของบประมาณรายจ่ายประจำปีงบประมาณ พ.ศ. 2568 เพิ่มเติมต่อนายกรัฐมนตรี รองนายกรัฐมนตรี หรือรัฐมนตรีเจ้าสังกัด แล้วแต่กรณี พิจารณาให้ความเห็นชอบ และส่งให้สำนักงบประมาณผ่านระบบ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Budgeting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ในวันพฤหัสบดีที่ 11 เมษายน 25</w:t>
      </w:r>
      <w:r w:rsidRPr="00E93915">
        <w:rPr>
          <w:rFonts w:ascii="TH SarabunPSK" w:eastAsia="Calibri" w:hAnsi="TH SarabunPSK" w:cs="TH SarabunPSK"/>
          <w:sz w:val="32"/>
          <w:szCs w:val="32"/>
        </w:rPr>
        <w:t xml:space="preserve">67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1.3 คณะรัฐมนตรีพิจารณาให้ความเห็นชอบรายละเอียดงบประมาณรายจ่ายประจำปีงบประมาณ พ.ศ. 2568 พร้อมแนวทางการปรับปรุงรายละเอียดงบประมาณรายจ่ายประจำปีงบประมาณ พ.ศ. 2568 ในวันพฤหัสบดีที่ 18 เมษายน 2567 โดยให้หน่วยรับงบประมาณเสนอการปรับปรุงรายละเอียดงบประมาณต่อนายกรัฐมนตรี รองนายกรัฐมนตรี หรือรัฐมนตรีเจ้าสังกัด แล้วแต่กรณี พิจารณาให้ความเห็นชอบและส่งให้สำนักงบประมาณภายในวันที่ 20 เมษายน 2567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สำนักงบประมาณพิจารณาการปรับปรุงรายละเอียดงบประมาณรายจ่ายประจำปีงบประมาณ พ.ศ. 2568 เพื่อนำเสนอคณะรัฐมนตรีพิจารณาให้ความเห็นชอบการปรับปรุงรายละเอียดงบประมาณรายจ่ายประจำปีงบประมาณ พ.ศ. 2568 และมอบให้สำนักงบประมาณไปดำเนินการรับฟังความคิดเห็นการจัดทำงบประมาณรายจ่ายประจำปีงบประมาณ พ.ศ. 2568 ตามบทบัญญัติรัฐธรรมนูญแห่งราชอาณาจักรไทย พุทธศักราช 2560 มาตรา 77 วรรคสอง ในวันอังคารที่ 23 เมษายน 2567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1.5 สำนักงบประมาณดำเนินการรับฟังความคิดเห็นการจัดทำร่างพระราชบัญญัติงบประมาณรายจ่ายประจำปีงบประมาณ พ.ศ. 2568 ระหว่างวันที่ 24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30 เมษายน 256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เพื่อนำเสนอคณะรัฐมนตรีรับทราบผลการรับฟังความคิดเห็นฯ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2568 และให้สำนักงบประมาณจัดพิมพ์ร่างพระราชบัญญัติงบประมาณรายจ่ายประจำปีงบประมาณ พ.ศ. 2568 และเอกสารประกอบงบประมาณในวันอังคารที่ 14 พฤษภาคม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1.6 สำนักงบประมาณดำเนินการจัดพิมพ์ร่างพระราชบัญญัติงบประมาณรายจ่ายประจำปีงบประมาณ พ.ศ. 2568 และเอกสารประกอบฯ ระหว่างวันที่ 15 - 24 พฤษภาคม 2567 เพื่อนำเสนอคณะรัฐมนตรี พิจารณาให้ความเห็นชอบร่างพระราชบัญญัติงบประมาณรายจ่ายประจำปีงบประมาณ พ.ศ. 25628 และนำเสนอสภาผู้แทนราษฎรในวันอังคารที่ 28 พฤษภาคม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การอนุมัติงบประมาณ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มีขั้นตอนและกิจกรรม ดังนี้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สภาผู้แทนราษฎร พิจารณาร่างพระราชบัญญัติงบประมาณรายจ่ายประจำปีงบประมาณ พ.ศ. 2568 วาระที่ 1 ในวันที่ 5 - 6 มิถุนายน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สภาผู้แทนราษฎร พิจารณาร่างพระราชบัญญัติงบประมาณรายจ่ายประจำปีงบประมาณ พ.ศ. 2568 วาระที่ 2 - 3 ในวันที่ 28 - 29 สิงหาคม 2527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วุฒิสภา พิจารณาร่างพระราชบัญญัติงบประมาณรายจ่ายประจำปีงบประมาณ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พ.ศ. 2568 ในวันที่ 9 - 10 กันยายน 2567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  <w:t>2.4 สำนักเลขาธิการคณะรัฐมนตรี นำร่างพระราชบัญญัติงบประมาณรายจ่ายประจำปีงบประมาณ พ.ศ. 2568 ขึ้นทูลเกล้าฯ ถวาย ในวันที่ 17 กันยายน 2567 เพื่อประกาศบังคับใช้เป็นกฎหมายต่อไป</w:t>
      </w:r>
    </w:p>
    <w:p w:rsidR="00E93915" w:rsidRPr="009B0AC8" w:rsidRDefault="00E93915" w:rsidP="005F667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05327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8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คณะกรรมการร่วมสำหรับความตกลงว่าด้วยการขนส่งข้ามพรมแดนในอนุภูมิภาคลุ่มแม่น้ำโขง</w:t>
      </w:r>
      <w:r w:rsidRPr="00194BB4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(ความตกลง </w:t>
      </w:r>
      <w:r w:rsidRPr="00194BB4">
        <w:rPr>
          <w:rFonts w:ascii="TH SarabunPSK" w:hAnsi="TH SarabunPSK" w:cs="TH SarabunPSK"/>
          <w:sz w:val="32"/>
          <w:szCs w:val="32"/>
        </w:rPr>
        <w:t>GMS CBTA</w:t>
      </w:r>
      <w:r w:rsidRPr="00194BB4">
        <w:rPr>
          <w:rFonts w:ascii="TH SarabunPSK" w:hAnsi="TH SarabunPSK" w:cs="TH SarabunPSK"/>
          <w:sz w:val="32"/>
          <w:szCs w:val="32"/>
          <w:cs/>
        </w:rPr>
        <w:t>) ระดับรัฐมนตรี ครั้งที่ 8 (</w:t>
      </w:r>
      <w:r w:rsidRPr="00194BB4">
        <w:rPr>
          <w:rFonts w:ascii="TH SarabunPSK" w:hAnsi="TH SarabunPSK" w:cs="TH SarabunPSK"/>
          <w:sz w:val="32"/>
          <w:szCs w:val="32"/>
        </w:rPr>
        <w:t>The Eighth Meeting of the CBTA Joint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4BB4">
        <w:rPr>
          <w:rFonts w:ascii="TH SarabunPSK" w:hAnsi="TH SarabunPSK" w:cs="TH SarabunPSK"/>
          <w:sz w:val="32"/>
          <w:szCs w:val="32"/>
        </w:rPr>
        <w:t xml:space="preserve">Committee </w:t>
      </w:r>
      <w:r w:rsidRPr="00194BB4">
        <w:rPr>
          <w:rFonts w:ascii="TH SarabunPSK" w:hAnsi="TH SarabunPSK" w:cs="TH SarabunPSK"/>
          <w:sz w:val="32"/>
          <w:szCs w:val="32"/>
          <w:cs/>
        </w:rPr>
        <w:t>: 8</w:t>
      </w:r>
      <w:r w:rsidRPr="00194BB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94BB4">
        <w:rPr>
          <w:rFonts w:ascii="TH SarabunPSK" w:hAnsi="TH SarabunPSK" w:cs="TH SarabunPSK"/>
          <w:sz w:val="32"/>
          <w:szCs w:val="32"/>
        </w:rPr>
        <w:t xml:space="preserve"> JC GMS CBTA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(การประชุมคณะกรรมการร่วมฯ) ตามที่กระทรวงคมนาคม (คค.) เสนอ 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 (12 ธันวาคม 2566) เห็นชอบ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8 (ร่างแถลงการณ์ร่วมฯ) โดยมีสาระสำคัญเป็นการขยายระยะเวลาดำเนินการตามบันทึกความเข้าใจว่าด้วยการดำเนินการตามความตกลง </w:t>
      </w:r>
      <w:r w:rsidRPr="00194BB4">
        <w:rPr>
          <w:rFonts w:ascii="TH SarabunPSK" w:hAnsi="TH SarabunPSK" w:cs="TH SarabunPSK"/>
          <w:sz w:val="32"/>
          <w:szCs w:val="32"/>
        </w:rPr>
        <w:t>GMS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</w:rPr>
        <w:t xml:space="preserve">CBTA </w:t>
      </w:r>
      <w:r w:rsidRPr="00194BB4">
        <w:rPr>
          <w:rFonts w:ascii="TH SarabunPSK" w:hAnsi="TH SarabunPSK" w:cs="TH SarabunPSK"/>
          <w:sz w:val="32"/>
          <w:szCs w:val="32"/>
          <w:cs/>
        </w:rPr>
        <w:t>(บันทึกความเข้าใจฯ) “ระยะแรก”</w:t>
      </w:r>
      <w:r w:rsidRPr="00194BB4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ออกไปจนถึงวันที่ </w:t>
      </w:r>
      <w:r w:rsidRPr="00194BB4">
        <w:rPr>
          <w:rFonts w:ascii="TH SarabunPSK" w:hAnsi="TH SarabunPSK" w:cs="TH SarabunPSK"/>
          <w:sz w:val="32"/>
          <w:szCs w:val="32"/>
        </w:rPr>
        <w:t>31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94BB4">
        <w:rPr>
          <w:rFonts w:ascii="TH SarabunPSK" w:hAnsi="TH SarabunPSK" w:cs="TH SarabunPSK"/>
          <w:sz w:val="32"/>
          <w:szCs w:val="32"/>
        </w:rPr>
        <w:t>2569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เพื่อส่งเสริมการคมนาคมขนส่งในอนุภูมิภาคลุ่มแม่น้ำโขง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2. รัฐมนตรีช่วยว่าการกระทรวงคมนาคม (นายสุรพงษ์ ปิยะโชติ) ทำหน้าที่หัวหน้าคณะผู้แทนไทยเข้าร่วมประชุมคณะกรรมการร่วมฯ เมื่อวันที่ 12-13 ธันวาคม 2566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ผ่านระบบการประชุมทางไกล โดยการประชุมคณะกรรมการร่วมฯ มีผลลัพธ์การประชุมสรุปได้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2.1 การขยายระยะเวลาการมีผลบังคับใช้ของการดำเนินการตามบันทึกความเข้าใจฯ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“ระยะแรก”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ให้ขยายระยะเวลาการมีผลบังคับใช้ของการดำเนินการตามบันทึกความเข้าใจฯ “ระยะแรก” ออกไปอีก 3 ปี โดยเริ่มตั้งแต่วันที่ 1 มกราคม 2567 ถึงวันที่ 31 ธันวาคม 2569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เพื่อให้ประเทศสมาชิกอนุ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ภูมิภาคลุ่มแม่น้ำโขงสามารถกลับมาเดินรถระหว่างประเทศภายใด้บันทึกความเข้าใจฯ “ระยะแรก” อีกครั้ง (เป็นการสนับสนุนการเคลื่อนย้ายคนและสินค้าภายในอนุภูมิภาคลุ่มแม่น้ำโขงและอำนวยความสะดวกในการขนส่งข้ามแดนระหว่างประเทศสมาชิกที่มีพรมแดนติดต่อกัน อันจะเป็นประโยชน์ต่อการส่งเสริมการพัฒนาการค้าชายแดนและการขยายตัวทางเศรษฐกิจตามแนวระเบียงเศรษฐกิจในอนุภูมิภาค) และให้เร่งรัดการออกใบอนุญาตขนส่งทางถนนและเอกสารนำเข้าชั่วคราวสำหรับยานพาหนะเพื่อการพาณิชย์ รวมถึงรวบรวมและแลกเปลี่ยนหมายเลขทะเบียนรถให้ประเทศสมาชิกทราบอย่างน้อยล่วงหน้า 2 สัปดาห์ ก่อนเริ่มกลับมาเดินรถอีกครั้ง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2.2 การกลับมาดำเนินการขนส่งตามบันทึกความ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เข้าใจฯ “ระยะแรก” อีกครั้ง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ให้ผู้ประกอบการสามารถดำเนินการขนส่งระหว่างประเทศได้ตั้งแต่วันที่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โดยรวมถึงเส้นทางและจุดผ่านแดนที่เพิ่มเติมไว้</w:t>
            </w:r>
            <w:r w:rsidRPr="00194BB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(บันทึกความเข้าใจว่าด้วยการเปิดเส้นทางฯ)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ให้มีการดำเนินการ เช่น (1) ให้มีการออกใบอนุญาตฯ เป็นประจำทุกปี (มีอายุ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 และออกเอกสารนำเข้าชั่วคราว ทุก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ให้หน่วยงานที่เกี่ยวข้องด้านการขนส่งและศุลกากรของแต่ละประเทศประชาสัมพันธ์การกลับมาเดินรถอีกค</w:t>
            </w:r>
            <w:r w:rsidR="008060FF">
              <w:rPr>
                <w:rFonts w:ascii="TH SarabunPSK" w:hAnsi="TH SarabunPSK" w:cs="TH SarabunPSK"/>
                <w:sz w:val="32"/>
                <w:szCs w:val="32"/>
                <w:cs/>
              </w:rPr>
              <w:t>รั้งภายใต้บันทึกความเข้าใจฯ “ระย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ะแรก”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2.3 กำหนดการประชุมคณะอนุกรรมการด้านการขนส่ง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Transport Sub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ให้มีการประชุมคณะอนุกรรมการด้านการขนส่ง ในช่วงไตรมาสแรกของปี 2567 เพื่อหารือเกี่ยวกับเส้นทางและจุดผ่านแดนเพิ่มเติมภายใต้พิธีสาร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2.4 กำหนดการประชุมคณะอนุกรรมการด้านศุลกากร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Customs Sub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Committee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ประชุมคณะอนุกรรมการด้านศุลกากรคู่ขนานกับการประชุมคณะอนุกรรมการด้านการขนส่งภายใต้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ในช่วงไตรมาสแรกของปี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เพื่อหารือเกี่ยวกับพิธีการศุลกากรผ่านแดนสำหรับการดำเนินการตามบันทึกความเข้าใจฯ “ระยะแรก”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แผนดำเนินงาน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เห็นชอบแผนดังกล่าว ซึ่งระบุแนวทางการดำเนินการในประเด็นต่าง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(1) การดำเนินการและการติดตามผลของบันทึกความเข้าใจฯ “ระยะแรก”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การรวบรวม วิเคราะห์ และแลกเปลี่ยนข้อมูลการอำนวยความสะดวกด้านการขนส่งและการค้า (สำรวจและสอบถามความต้องการของผู้ประกอบการเพื่อประเมินผลประโยชน์ที่ผู้ประก่อบการได้รับจากความ           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และเพื่อปรับปรุงความตกลง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(3) การจัดทำคู่มือเส้นทางเดินรถ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Corridor Handbook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ตามบันทึกความเข้าใจฯ “ระยะแรก” (เพื่อเพิ่มประสิทธิภาพของผู้ประกอบการขนส่งระหว่างประเทศที่ครอบครองใบอนุญาตการขนส่งทางถนน)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(4) การเข้าร่วมการดำเนินการตามบันทึกความเข้าใจฯ “ระยะแรก” ในอนาคตของเมียนมา</w:t>
            </w:r>
          </w:p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การหารือเกี่ยวกับความตกลง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GMS CBTA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ฉบับปรับปรุง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CBTA 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เพื่อให้มีความทันสมัยมากขึ้น</w:t>
            </w:r>
          </w:p>
        </w:tc>
      </w:tr>
      <w:tr w:rsidR="00905327" w:rsidRPr="00194BB4" w:rsidTr="00050713"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4797" w:type="dxa"/>
          </w:tcPr>
          <w:p w:rsidR="00905327" w:rsidRPr="00194BB4" w:rsidRDefault="00905327" w:rsidP="0005071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4BB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มอบหมายให้เจ้าหน้าที่อา</w:t>
            </w:r>
            <w:r w:rsidR="008060FF">
              <w:rPr>
                <w:rFonts w:ascii="TH SarabunPSK" w:hAnsi="TH SarabunPSK" w:cs="TH SarabunPSK"/>
                <w:sz w:val="32"/>
                <w:szCs w:val="32"/>
                <w:cs/>
              </w:rPr>
              <w:t>วุโสของคณะกรรมการอำนวยความสะดวก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การขนส่งแห่งชาติ (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NTFC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จัดเก็บข้อมูลการค้าและการขนส่งของจุดข้ามแดนระหว่างประเทศที่ระบุไว้ในพิธีสาร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94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ของความตกลง </w:t>
            </w:r>
            <w:r w:rsidRPr="00194BB4">
              <w:rPr>
                <w:rFonts w:ascii="TH SarabunPSK" w:hAnsi="TH SarabunPSK" w:cs="TH SarabunPSK"/>
                <w:sz w:val="32"/>
                <w:szCs w:val="32"/>
              </w:rPr>
              <w:t>GMS CBTA</w:t>
            </w:r>
          </w:p>
        </w:tc>
      </w:tr>
    </w:tbl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3. ที่ประชุมคณะกรรมการร่วมฯ ได้ให้การรับรองร่างแถลงการณ์ร่วมฯ  ซึ่งยังคงไว้ซึ่งสาระสำคัญตามร่างแถลงการณ์ร่วมฯ การประชุมที่ได้รับ</w:t>
      </w:r>
      <w:r w:rsidR="008060FF">
        <w:rPr>
          <w:rFonts w:ascii="TH SarabunPSK" w:hAnsi="TH SarabunPSK" w:cs="TH SarabunPSK"/>
          <w:sz w:val="32"/>
          <w:szCs w:val="32"/>
          <w:cs/>
        </w:rPr>
        <w:t>ความเห็นชอบและอนุมัติจากคณะรัฐมน</w:t>
      </w:r>
      <w:r w:rsidRPr="00194BB4">
        <w:rPr>
          <w:rFonts w:ascii="TH SarabunPSK" w:hAnsi="TH SarabunPSK" w:cs="TH SarabunPSK"/>
          <w:sz w:val="32"/>
          <w:szCs w:val="32"/>
          <w:cs/>
        </w:rPr>
        <w:t>ตรี เมื่อวันที่ 12 ธันวาคม 2566 โดยมีการแก้ไขเพิ่มเติม เช่น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>3.1 เพิ่มถ้อยคำในหัวข้อการกลับมาดำเนินการตามบันทึกความเข้าใจฯ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BB4">
        <w:rPr>
          <w:rFonts w:ascii="TH SarabunPSK" w:hAnsi="TH SarabunPSK" w:cs="TH SarabunPSK"/>
          <w:sz w:val="32"/>
          <w:szCs w:val="32"/>
          <w:cs/>
        </w:rPr>
        <w:t>“ระยะแรก” เกี่ยวกับการให้หน่วยงานที่เกี่ยวข้องทั้งด้านการขนส่งและศุลกากรของแต่ละประเทศดำเนินการประชาสัมพันธ์การกลับมาเดินรถอีกครั้งภายใต้บันทึกความเข้าใจฯ “ระยะแรก</w:t>
      </w:r>
      <w:r w:rsidR="00BD2B31">
        <w:rPr>
          <w:rFonts w:ascii="TH SarabunPSK" w:hAnsi="TH SarabunPSK" w:cs="TH SarabunPSK"/>
          <w:sz w:val="32"/>
          <w:szCs w:val="32"/>
          <w:cs/>
        </w:rPr>
        <w:t>”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</w:r>
      <w:r w:rsidRPr="00194BB4">
        <w:rPr>
          <w:rFonts w:ascii="TH SarabunPSK" w:hAnsi="TH SarabunPSK" w:cs="TH SarabunPSK"/>
          <w:sz w:val="32"/>
          <w:szCs w:val="32"/>
          <w:cs/>
        </w:rPr>
        <w:tab/>
        <w:t xml:space="preserve">3.2 แก้ไขถ้อยคำในหัวข้อแผนดำเนินงาน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ปี 2567 – 2571 จากเดิม “(6) การเห็นชอบและรับรองความตกลง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>ฉบับปรับปรุง (</w:t>
      </w:r>
      <w:r w:rsidRPr="00194BB4">
        <w:rPr>
          <w:rFonts w:ascii="TH SarabunPSK" w:hAnsi="TH SarabunPSK" w:cs="TH SarabunPSK"/>
          <w:sz w:val="32"/>
          <w:szCs w:val="32"/>
        </w:rPr>
        <w:t>CBTA 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>0</w:t>
      </w:r>
      <w:r w:rsidRPr="00194BB4">
        <w:rPr>
          <w:rFonts w:ascii="TH SarabunPSK" w:hAnsi="TH SarabunPSK" w:cs="TH SarabunPSK"/>
          <w:sz w:val="32"/>
          <w:szCs w:val="32"/>
          <w:cs/>
        </w:rPr>
        <w:t xml:space="preserve">)” เป็น “(6) การหารือเกี่ยวกับความตกลง </w:t>
      </w:r>
      <w:r w:rsidRPr="00194BB4">
        <w:rPr>
          <w:rFonts w:ascii="TH SarabunPSK" w:hAnsi="TH SarabunPSK" w:cs="TH SarabunPSK"/>
          <w:sz w:val="32"/>
          <w:szCs w:val="32"/>
        </w:rPr>
        <w:t xml:space="preserve">GMS CBTA </w:t>
      </w:r>
      <w:r w:rsidRPr="00194BB4">
        <w:rPr>
          <w:rFonts w:ascii="TH SarabunPSK" w:hAnsi="TH SarabunPSK" w:cs="TH SarabunPSK"/>
          <w:sz w:val="32"/>
          <w:szCs w:val="32"/>
          <w:cs/>
        </w:rPr>
        <w:t>ฉบับปรับปรุง (</w:t>
      </w:r>
      <w:r w:rsidRPr="00194BB4">
        <w:rPr>
          <w:rFonts w:ascii="TH SarabunPSK" w:hAnsi="TH SarabunPSK" w:cs="TH SarabunPSK"/>
          <w:sz w:val="32"/>
          <w:szCs w:val="32"/>
        </w:rPr>
        <w:t>CBTA 2</w:t>
      </w:r>
      <w:r w:rsidRPr="00194BB4">
        <w:rPr>
          <w:rFonts w:ascii="TH SarabunPSK" w:hAnsi="TH SarabunPSK" w:cs="TH SarabunPSK"/>
          <w:sz w:val="32"/>
          <w:szCs w:val="32"/>
          <w:cs/>
        </w:rPr>
        <w:t>.</w:t>
      </w:r>
      <w:r w:rsidRPr="00194BB4">
        <w:rPr>
          <w:rFonts w:ascii="TH SarabunPSK" w:hAnsi="TH SarabunPSK" w:cs="TH SarabunPSK"/>
          <w:sz w:val="32"/>
          <w:szCs w:val="32"/>
        </w:rPr>
        <w:t>0</w:t>
      </w:r>
      <w:r w:rsidRPr="00194BB4">
        <w:rPr>
          <w:rFonts w:ascii="TH SarabunPSK" w:hAnsi="TH SarabunPSK" w:cs="TH SarabunPSK"/>
          <w:sz w:val="32"/>
          <w:szCs w:val="32"/>
          <w:cs/>
        </w:rPr>
        <w:t>)”</w:t>
      </w:r>
    </w:p>
    <w:p w:rsidR="00905327" w:rsidRPr="00194BB4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4BB4">
        <w:rPr>
          <w:rFonts w:ascii="TH SarabunPSK" w:hAnsi="TH SarabunPSK" w:cs="TH SarabunPSK"/>
          <w:sz w:val="32"/>
          <w:szCs w:val="32"/>
        </w:rPr>
        <w:t>_______________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  <w:cs/>
        </w:rPr>
        <w:t>1</w:t>
      </w:r>
      <w:r w:rsidRPr="005E6A2D">
        <w:rPr>
          <w:rFonts w:ascii="TH SarabunPSK" w:hAnsi="TH SarabunPSK" w:cs="TH SarabunPSK"/>
          <w:sz w:val="28"/>
          <w:cs/>
        </w:rPr>
        <w:t>เป็นความตกลงเกี่ยวกับการอำนวยความสะดวกในการขนส่งสินค้าและบุคคลข้ามพรมแดนระหว่างประเทศในอนุภูมิภาคลุ่มแม่น้ำโขง ได้แก่  ประเทศไทย สาธรารณรัฐประชาธิปไตยประชาชนลาว (สปป. ลาว) สาธารณรัฐแห่งสหภาพเมียนมา (เมียนมา) ราชอาณาจักรกัมพูชา</w:t>
      </w:r>
      <w:r w:rsidRPr="005E6A2D">
        <w:rPr>
          <w:rFonts w:ascii="TH SarabunPSK" w:hAnsi="TH SarabunPSK" w:cs="TH SarabunPSK" w:hint="cs"/>
          <w:sz w:val="28"/>
          <w:cs/>
        </w:rPr>
        <w:t xml:space="preserve"> </w:t>
      </w:r>
      <w:r w:rsidRPr="005E6A2D">
        <w:rPr>
          <w:rFonts w:ascii="TH SarabunPSK" w:hAnsi="TH SarabunPSK" w:cs="TH SarabunPSK"/>
          <w:sz w:val="28"/>
          <w:cs/>
        </w:rPr>
        <w:t>จีน และสาธารณสังคมนิยมเวียดนาม  โดยประเทศภาคีความตกลงฯ จะต้องจัดทำภาคผนวก (</w:t>
      </w:r>
      <w:r w:rsidRPr="005E6A2D">
        <w:rPr>
          <w:rFonts w:ascii="TH SarabunPSK" w:hAnsi="TH SarabunPSK" w:cs="TH SarabunPSK"/>
          <w:sz w:val="28"/>
        </w:rPr>
        <w:t>Annex</w:t>
      </w:r>
      <w:r w:rsidRPr="005E6A2D">
        <w:rPr>
          <w:rFonts w:ascii="TH SarabunPSK" w:hAnsi="TH SarabunPSK" w:cs="TH SarabunPSK"/>
          <w:sz w:val="28"/>
          <w:cs/>
        </w:rPr>
        <w:t>) และพิธีสาร (</w:t>
      </w:r>
      <w:r w:rsidRPr="005E6A2D">
        <w:rPr>
          <w:rFonts w:ascii="TH SarabunPSK" w:hAnsi="TH SarabunPSK" w:cs="TH SarabunPSK"/>
          <w:sz w:val="28"/>
        </w:rPr>
        <w:t>Protocol</w:t>
      </w:r>
      <w:r w:rsidRPr="005E6A2D">
        <w:rPr>
          <w:rFonts w:ascii="TH SarabunPSK" w:hAnsi="TH SarabunPSK" w:cs="TH SarabunPSK"/>
          <w:sz w:val="28"/>
          <w:cs/>
        </w:rPr>
        <w:t>) เพื่อกำหนดรายละเอียดในการปฏิบัติการขนส่ง รวม 20</w:t>
      </w:r>
      <w:r w:rsidR="00BD2B31">
        <w:rPr>
          <w:rFonts w:ascii="TH SarabunPSK" w:hAnsi="TH SarabunPSK" w:cs="TH SarabunPSK" w:hint="cs"/>
          <w:sz w:val="28"/>
          <w:cs/>
        </w:rPr>
        <w:t xml:space="preserve"> </w:t>
      </w:r>
      <w:r w:rsidRPr="005E6A2D">
        <w:rPr>
          <w:rFonts w:ascii="TH SarabunPSK" w:hAnsi="TH SarabunPSK" w:cs="TH SarabunPSK"/>
          <w:sz w:val="28"/>
          <w:cs/>
        </w:rPr>
        <w:t>ฉบับ เช่น เส้นทางที่ใช้ในการขนส่งผ่านแดน โควตาการบริการขนส่งและการออกใบอนุญาตขนส่งข้ามพรมแดน ค่าธรรมเนียมผ่านแดน เป็นต้น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  <w:cs/>
        </w:rPr>
        <w:t>2</w:t>
      </w:r>
      <w:r w:rsidRPr="005E6A2D">
        <w:rPr>
          <w:rFonts w:ascii="TH SarabunPSK" w:hAnsi="TH SarabunPSK" w:cs="TH SarabunPSK"/>
          <w:sz w:val="28"/>
          <w:cs/>
        </w:rPr>
        <w:t xml:space="preserve">บันทึกความเข้าใจฯ “ระยะแรก” เป็นการกำหนดแนวทางในการดำเนินการความตกลง </w:t>
      </w:r>
      <w:r w:rsidRPr="005E6A2D">
        <w:rPr>
          <w:rFonts w:ascii="TH SarabunPSK" w:hAnsi="TH SarabunPSK" w:cs="TH SarabunPSK"/>
          <w:sz w:val="28"/>
        </w:rPr>
        <w:t xml:space="preserve">GMS CBTA </w:t>
      </w:r>
      <w:r w:rsidRPr="005E6A2D">
        <w:rPr>
          <w:rFonts w:ascii="TH SarabunPSK" w:hAnsi="TH SarabunPSK" w:cs="TH SarabunPSK"/>
          <w:sz w:val="28"/>
          <w:cs/>
        </w:rPr>
        <w:t>ในระยะแรก โดยให้มีการจำกัดจำนวนใบอนุญาตขนส่งทางถนนภายใต้ความตกลงฯ สำหรับผู้ประกอบการขนส่งของแต่ละประเทศ ไม่เกินประเทศละ 500 ใบ  รวมถึงการให้งดเว้นการจ่ายอากรขาเข้าและวางค้ำประกันภาระภาษีศุลกากร สำหรับการนำรถยนต์เข้าในเขตแดนประเท</w:t>
      </w:r>
      <w:r w:rsidR="00BD2B31">
        <w:rPr>
          <w:rFonts w:ascii="TH SarabunPSK" w:hAnsi="TH SarabunPSK" w:cs="TH SarabunPSK"/>
          <w:sz w:val="28"/>
          <w:cs/>
        </w:rPr>
        <w:t>ศภาคีสมาชิกและการนำเข้าตู้คอนเท</w:t>
      </w:r>
      <w:r w:rsidRPr="005E6A2D">
        <w:rPr>
          <w:rFonts w:ascii="TH SarabunPSK" w:hAnsi="TH SarabunPSK" w:cs="TH SarabunPSK"/>
          <w:sz w:val="28"/>
          <w:cs/>
        </w:rPr>
        <w:t xml:space="preserve">นเนอร์เป็นการชั่วคราว  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3</w:t>
      </w:r>
      <w:r w:rsidRPr="005E6A2D">
        <w:rPr>
          <w:rFonts w:ascii="TH SarabunPSK" w:hAnsi="TH SarabunPSK" w:cs="TH SarabunPSK"/>
          <w:sz w:val="28"/>
          <w:cs/>
        </w:rPr>
        <w:t>เดิมการมีผลบังคับใช้ของการดำเนินการตามบันทึกความเข้าใจฯ “ระยะแรก” สิ้นสุดวันที่ 31 พฤษภาคม 2564 ส่งผลให้ภายหลังจากสิ้นสุดระยะเวลาการมีผลบังคับใช้ดังกล่าว ประเทศสมาชิกอนุภูมิภาคลุ่มแม่น้ำโขงไม่ส</w:t>
      </w:r>
      <w:r w:rsidR="00BD2B31">
        <w:rPr>
          <w:rFonts w:ascii="TH SarabunPSK" w:hAnsi="TH SarabunPSK" w:cs="TH SarabunPSK"/>
          <w:sz w:val="28"/>
          <w:cs/>
        </w:rPr>
        <w:t>ามารถเดินรถระหว่างประเทศภายใต้</w:t>
      </w:r>
      <w:r w:rsidRPr="005E6A2D">
        <w:rPr>
          <w:rFonts w:ascii="TH SarabunPSK" w:hAnsi="TH SarabunPSK" w:cs="TH SarabunPSK"/>
          <w:sz w:val="28"/>
          <w:cs/>
        </w:rPr>
        <w:t>บันทึกความเข้าใจฯ  “ระยะแรก” ได้ (เช่น การเดินรถเพื่อการพาณิชย์) ดังนั้น ที่ประชุมจึงเห็นชอบให้ขยายระยะเวลาการมีผลบังคับใช้ของการดำเนินการตามบันทึกความเข้าใจฯ “ระยะแรก” ในครั้งนี้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4</w:t>
      </w:r>
      <w:r w:rsidRPr="005E6A2D">
        <w:rPr>
          <w:rFonts w:ascii="TH SarabunPSK" w:hAnsi="TH SarabunPSK" w:cs="TH SarabunPSK"/>
          <w:sz w:val="28"/>
          <w:cs/>
        </w:rPr>
        <w:t>เพื่อให้แต่ละประเทศมีเวลาสำหรับดำเนินการคัดเลือกผู้ประกอบการขนส่งภายใต้บันทึกความเข้าใจฉบับนี้ รวมถึงออกใบอนุญาตและเอกสารนำเข้าชั่วคราวให้แก่ผู้ประกอบการดังกล่าว</w:t>
      </w:r>
    </w:p>
    <w:p w:rsidR="00905327" w:rsidRPr="005E6A2D" w:rsidRDefault="00905327" w:rsidP="0090532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E6A2D">
        <w:rPr>
          <w:rFonts w:ascii="TH SarabunPSK" w:hAnsi="TH SarabunPSK" w:cs="TH SarabunPSK"/>
          <w:sz w:val="28"/>
          <w:vertAlign w:val="superscript"/>
        </w:rPr>
        <w:t>5</w:t>
      </w:r>
      <w:r w:rsidRPr="005E6A2D">
        <w:rPr>
          <w:rFonts w:ascii="TH SarabunPSK" w:hAnsi="TH SarabunPSK" w:cs="TH SarabunPSK"/>
          <w:sz w:val="28"/>
          <w:cs/>
        </w:rPr>
        <w:t xml:space="preserve">เพิ่มเส้นทางและจุดผ่านแดนจากเดิม </w:t>
      </w:r>
      <w:r w:rsidRPr="005E6A2D">
        <w:rPr>
          <w:rFonts w:ascii="TH SarabunPSK" w:hAnsi="TH SarabunPSK" w:cs="TH SarabunPSK"/>
          <w:sz w:val="28"/>
        </w:rPr>
        <w:t>13</w:t>
      </w:r>
      <w:r w:rsidRPr="005E6A2D">
        <w:rPr>
          <w:rFonts w:ascii="TH SarabunPSK" w:hAnsi="TH SarabunPSK" w:cs="TH SarabunPSK"/>
          <w:sz w:val="28"/>
          <w:cs/>
        </w:rPr>
        <w:t xml:space="preserve"> เส้นทาง เป็น </w:t>
      </w:r>
      <w:r w:rsidRPr="005E6A2D">
        <w:rPr>
          <w:rFonts w:ascii="TH SarabunPSK" w:hAnsi="TH SarabunPSK" w:cs="TH SarabunPSK"/>
          <w:sz w:val="28"/>
        </w:rPr>
        <w:t xml:space="preserve">24 </w:t>
      </w:r>
      <w:r w:rsidRPr="005E6A2D">
        <w:rPr>
          <w:rFonts w:ascii="TH SarabunPSK" w:hAnsi="TH SarabunPSK" w:cs="TH SarabunPSK"/>
          <w:sz w:val="28"/>
          <w:cs/>
        </w:rPr>
        <w:t xml:space="preserve">เส้นทาง (เพิ่มขึ้น </w:t>
      </w:r>
      <w:r w:rsidRPr="005E6A2D">
        <w:rPr>
          <w:rFonts w:ascii="TH SarabunPSK" w:hAnsi="TH SarabunPSK" w:cs="TH SarabunPSK"/>
          <w:sz w:val="28"/>
        </w:rPr>
        <w:t>11</w:t>
      </w:r>
      <w:r w:rsidRPr="005E6A2D">
        <w:rPr>
          <w:rFonts w:ascii="TH SarabunPSK" w:hAnsi="TH SarabunPSK" w:cs="TH SarabunPSK"/>
          <w:sz w:val="28"/>
          <w:cs/>
        </w:rPr>
        <w:t xml:space="preserve"> เส้นทาง โดยมีเส้นทางและจุดผ่านแดนเพิ่มเติม เช่น เส้นทางระหว่างไทย - กัมพูชา [แหลมฉบัง - พนมสารคาม - กบินทร์บุรี - สระแก้ว - อรัญประเทศ (ไทย) - ปอยเปต (กัมพูชา] เป็นต้น</w:t>
      </w:r>
    </w:p>
    <w:p w:rsidR="00905327" w:rsidRDefault="00905327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C25EA" w:rsidRPr="003C25EA" w:rsidRDefault="007920E2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15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การนำเสนอแหล่งมรดกทางวัฒนธรรม 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สงขลา และชุมชนที่เกี่ยวเนื่องริมทะเลสาบสงขลา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”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เข้าสู่บัญชีราย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อเบื้องต้น (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</w:rPr>
        <w:t>Tentative List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) ของศูนย์มรดกโลก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เห็นชอบเอกสารนำเสนอแหล่งมรดกทางวัฒนธรรม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สงขลาและชุมชนที่เกี่ยวเนื่องริมทะเลสาบสงขลา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(แหล่งมรดกทางวัฒนธรรมสงขลาฯ) ภายใต้ชื่อ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Songkhla and its Associated Lagoon Settlements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(เอกสารนำเสนอฯ) เข้าสู่บัญชีรายชื่อเบื้องต้น (</w:t>
      </w:r>
      <w:r w:rsidRPr="003C25EA">
        <w:rPr>
          <w:rFonts w:ascii="TH SarabunPSK" w:eastAsia="Calibri" w:hAnsi="TH SarabunPSK" w:cs="TH SarabunPSK"/>
          <w:sz w:val="32"/>
          <w:szCs w:val="32"/>
        </w:rPr>
        <w:t>Tentative List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ของศูนย์มรดกโลก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เห็นชอบให้ประธานกรรมการแห่งชาติว่าด้วยอนุสัญญาคุ้มครองมรดกโลกลงนามในเอกสารนำเสนอฯ ต่อศูนย์มรดกโลก ณ กรุงปารีส สาธารณรัฐฝรั่งเศส (ฝรั่งเศส)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มอบหมายให้สำนักงานนโยบายและแผนทรัพยากรธรรมชาติและสิ่งแวดล้อม (สผ.) ในฐานะหน่วยประสานงานกลางอนุสัญญาว่าด้วยการคุ้มครองมรดกโลกทางวัฒนธรรมและทางธรรมชาตินำเสนอเอกสารนำเสนอฯ เข้าสู่บัญชีรายชื่อเบื้องต้นของศูนย์มรดกโลกต่อศูนย์มรดกโลก ณ กรุงปารีส ฝรั่งเศส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(ทส.) เสนอ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>(ทั้งนี้ ทส</w:t>
      </w:r>
      <w:r w:rsidR="0056128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จะต้องดำเนินการจัดส่งเอกสารนำเสนอฯ ให้ศูนย์มรดกโลก ภายในวันที่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15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เพื่อนำเสนอต่อคณะกรรมการมรดกโลก</w:t>
      </w:r>
      <w:r w:rsidRPr="003C25EA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เพื่อให้การรับรองในการประชุมสมัยสามัญ ครั้งที่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46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ที่จะจัดขึ้นระหว่างวันที่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21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3C25EA">
        <w:rPr>
          <w:rFonts w:ascii="TH SarabunPSK" w:eastAsia="Calibri" w:hAnsi="TH SarabunPSK" w:cs="TH SarabunPSK"/>
          <w:sz w:val="32"/>
          <w:szCs w:val="32"/>
        </w:rPr>
        <w:t>31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3C25EA">
        <w:rPr>
          <w:rFonts w:ascii="TH SarabunPSK" w:eastAsia="Calibri" w:hAnsi="TH SarabunPSK" w:cs="TH SarabunPSK"/>
          <w:sz w:val="32"/>
          <w:szCs w:val="32"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ณ กรุงนิวเดลี สาธารณรัฐอินเดีย เพื่อให้สามารถจัดส่งเอกสารการนำเสนอเพื่อขอรับการพิจารณาขึ้นทะเบียนเป็นแหล่งมรดกโลกได้ในปี </w:t>
      </w:r>
      <w:r w:rsidRPr="003C25EA">
        <w:rPr>
          <w:rFonts w:ascii="TH SarabunPSK" w:eastAsia="Calibri" w:hAnsi="TH SarabunPSK" w:cs="TH SarabunPSK"/>
          <w:sz w:val="32"/>
          <w:szCs w:val="32"/>
        </w:rPr>
        <w:t>2568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</w:rPr>
        <w:tab/>
      </w:r>
      <w:r w:rsidRPr="003C25EA">
        <w:rPr>
          <w:rFonts w:ascii="TH SarabunPSK" w:eastAsia="Calibri" w:hAnsi="TH SarabunPSK" w:cs="TH SarabunPSK"/>
          <w:sz w:val="32"/>
          <w:szCs w:val="32"/>
        </w:rPr>
        <w:tab/>
      </w:r>
      <w:r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อนุสัญญาว่าด้วยการคุ้มครองมรดกโลกทางวัฒนธรรมและทางธรรมชาติ</w:t>
      </w:r>
      <w:r w:rsidRPr="003C25E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(อนุสัญญาฯ) กำหนดให้รัฐภาคีสมาชิกที่ต้องการ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สนอแหล่งมรดกทางวัฒนธรรมหรือทางธรรมชาติจัดส่งเอกสารนำเสนอแหล่งมรดกดังกล่าวต่อศูนย์มรดกโลกในฐานะสำนักงานเลขานุการคณะกรรมการมรดกโลกเพื่อบรรจุในบัญชีรายชื่อเบื้องต้นของศูนย์มรดกโลก อย่างน้อย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 xml:space="preserve"> ปี ก่อนการขอรับการพิจารณาขึ้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นทะเบียนแหล่งมรดกเป็นมรดกโลก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คณะกรรมการแห่งชาติว่าด้วยอนุสัญญาคุ้มครองมรดกโลกในการประชุมครั้งที่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[รองนายกรัฐมนตรี (พลตำรวจเอก พัชรวาท วงษ์สุวรรณ) เป็นประธาน] มีมติเห็นชอบ (ร่าง) เอกสารนำเสนอแหล่งมรดกทางวัฒนธรรมสงขลาฯ ภายใต้ชื่อ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Songkhla and its Associated Lagoon Settlements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เข้าสู่บัญชีรายชื่อเบื้องต้น ของศูนย์มรดกโลก และมอบหมายให้ สผ. นำเสนอเอกสารนำเสนอฯ ต่อคณะรัฐมนตรี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เรื่องนี้เป็นเรื่องที่ ทส. ขอเสนอเอกสารนำเสนอแหล่งมรดกทางวัฒนธรรมสง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ลาฯ เข้าสู่บัญชีรายชื่อเบื้องต้นของศูนย์มรดกโลก เพื่อขอรับการพิจารณาขึ้นทะเบียนเป็นแหล่งมรดกโลกในปี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ซึ่งปัจจุบันประเทศไทยมีแหล่งมรดกโลกทางวัฒนธรรม จำนวน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แหล่ง ดังนี้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เมืองประวัติศาสตร์สุโขทัยและเมืองบริวาร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นครประวัติศาสตร์พระนครศรีอยุธยาและเมืองบริวาร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แหล่งโบราณคดีบ้านเชียงและ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เมืองโบราณศรีเทพและโบราณสถานสมัยทวารวดีที่เกี่ยว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องและมีแหล่งที่อยู่ระหว่างกระบวนการขอขึ้นทะเบียนมรดกโลกทางวัฒนธรรม จำนวน </w:t>
      </w:r>
      <w:r w:rsidRPr="003C25EA">
        <w:rPr>
          <w:rFonts w:ascii="TH SarabunPSK" w:eastAsia="Calibri" w:hAnsi="TH SarabunPSK" w:cs="TH SarabunPSK"/>
          <w:sz w:val="32"/>
          <w:szCs w:val="32"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แหล่ง ดังนี้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) อุทยานประวัติศาสตร์ภูพระบาท และ (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แหล่งมรดกทางวัฒนธรรมสงขลาฯ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(ข้อเสนอในครั้งนี้) 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</w:rPr>
        <w:t>______________________________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3C25EA">
        <w:rPr>
          <w:rFonts w:ascii="TH SarabunPSK" w:eastAsia="Calibri" w:hAnsi="TH SarabunPSK" w:cs="TH SarabunPSK"/>
          <w:sz w:val="28"/>
          <w:cs/>
        </w:rPr>
        <w:t>คณะกรรมการมรดกโลก เป็นองค์กรระหว่างประเทศ โดยมีหน้าที่ เช่น พิจารณาการขึ้นทะเบียนแหล่งมรดก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cs/>
        </w:rPr>
        <w:t>ในแหล่งบัญชีมรดกโลกและตรวจสอบสถานภาพการอนุรักษ์ของแหล่งมรดกที่ได้รับการขึ้นทะเบียนในบัญชีแหล่งมรดกโลก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3C25EA">
        <w:rPr>
          <w:rFonts w:ascii="TH SarabunPSK" w:eastAsia="Calibri" w:hAnsi="TH SarabunPSK" w:cs="TH SarabunPSK"/>
          <w:sz w:val="28"/>
          <w:cs/>
        </w:rPr>
        <w:t xml:space="preserve">ได้รับการรับรองในการประชุมสมัยสามัญครั้งที่ </w:t>
      </w:r>
      <w:r w:rsidRPr="003C25EA">
        <w:rPr>
          <w:rFonts w:ascii="TH SarabunPSK" w:eastAsia="Calibri" w:hAnsi="TH SarabunPSK" w:cs="TH SarabunPSK" w:hint="cs"/>
          <w:sz w:val="28"/>
          <w:cs/>
        </w:rPr>
        <w:t>17</w:t>
      </w:r>
      <w:r w:rsidRPr="003C25EA">
        <w:rPr>
          <w:rFonts w:ascii="TH SarabunPSK" w:eastAsia="Calibri" w:hAnsi="TH SarabunPSK" w:cs="TH SarabunPSK"/>
          <w:sz w:val="28"/>
          <w:cs/>
        </w:rPr>
        <w:t xml:space="preserve"> ขององค์การเพื่อการศึกษา วิทยาศาสตร์ และวัฒนธรรม</w:t>
      </w:r>
    </w:p>
    <w:p w:rsidR="003C25EA" w:rsidRPr="007920E2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C25EA">
        <w:rPr>
          <w:rFonts w:ascii="TH SarabunPSK" w:eastAsia="Calibri" w:hAnsi="TH SarabunPSK" w:cs="TH SarabunPSK"/>
          <w:sz w:val="28"/>
          <w:cs/>
        </w:rPr>
        <w:t xml:space="preserve">แห่งสหประชาชาติ ณ กรุงปารีส่ ฝรั่งเศส ในปี พ.ศ. </w:t>
      </w:r>
      <w:r w:rsidRPr="003C25EA">
        <w:rPr>
          <w:rFonts w:ascii="TH SarabunPSK" w:eastAsia="Calibri" w:hAnsi="TH SarabunPSK" w:cs="TH SarabunPSK" w:hint="cs"/>
          <w:sz w:val="28"/>
          <w:cs/>
        </w:rPr>
        <w:t>2515</w:t>
      </w:r>
      <w:r w:rsidRPr="003C25EA">
        <w:rPr>
          <w:rFonts w:ascii="TH SarabunPSK" w:eastAsia="Calibri" w:hAnsi="TH SarabunPSK" w:cs="TH SarabunPSK"/>
          <w:sz w:val="28"/>
          <w:cs/>
        </w:rPr>
        <w:t xml:space="preserve"> โดยมีวัตถุประสงค์เพื่อเสริมสร้างความร่วมมือในระดับนานาชาติในการปกป้อง คุ้มครอง และป้องกันแหล่งมรดกทางวัฒนธรรม และมรดกทางธรรมชาติ เพื่อส่งต่อให้กับคนรุ่นต่อไปในอนาคต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C25EA" w:rsidRPr="003C25EA" w:rsidRDefault="007920E2" w:rsidP="003C25EA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16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</w:t>
      </w:r>
      <w:r w:rsidR="003C25EA" w:rsidRPr="003C25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3C25EA"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งถ้อยแถลงร่วมระหว่างนายกรัฐมนตรีและนายกรัฐมนตรีนิวซีแลนด์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เห็นชอบต่อร่างถ้อยแถลงร่วมระหว่างนายกรัฐมนตรีกับนายกรัฐมนตรีนิวซีแลนด์ (ถ้อยแถลงร่วมฯ) ทั้งนี้ หากมีความจำเป็นต้องแก้ไขปรับปรุงร่างถ้อยแกลงร่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มฯ ในส่วนที่ไม่ใช่สาระสำคัญหรือไม่ขัดต่อผลประโยชน์ของประเทศไทย ขออนุมัติให้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กต.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พิจารณาดำเนินการได้โดยไม่ต้องขอความเห็นชอบจากคณะรัฐมนตรีอีก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ให้นายกรัฐนตรีร่วมรับรองร่างถ้อยแถลงร่วมฯ ในการหารือกับนายกรัฐมนตรีนิวซีแลนด์ ในวันที่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C25EA" w:rsidRPr="003C25EA" w:rsidRDefault="003C25EA" w:rsidP="003C25E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  <w:t>กต. รายงานว่า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นายกรัฐมนตรีนิวซีแลนด์มีกำหนดการเยือนประเทศไทยอย่างเป็นทางการระหว่างวันที่ </w:t>
      </w:r>
      <w:r w:rsidRPr="003C25EA">
        <w:rPr>
          <w:rFonts w:ascii="TH SarabunPSK" w:eastAsia="Calibri" w:hAnsi="TH SarabunPSK" w:cs="TH SarabunPSK"/>
          <w:sz w:val="32"/>
          <w:szCs w:val="32"/>
        </w:rPr>
        <w:t>16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3C25EA">
        <w:rPr>
          <w:rFonts w:ascii="TH SarabunPSK" w:eastAsia="Calibri" w:hAnsi="TH SarabunPSK" w:cs="TH SarabunPSK"/>
          <w:sz w:val="32"/>
          <w:szCs w:val="32"/>
        </w:rPr>
        <w:t>18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ตามคำเชิญของนายกรัฐมนตรี ซึ่งเป็นผลสืบเนื่องมาจากการหารือทวิภาคีระหว่างนายกรัฐมนตรีกับ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lastRenderedPageBreak/>
        <w:t>นายกรัฐมนตรีนิวซีแลนด์ในห้วงการประชุมสุดยอดอาเซียน - ออสเตรเลีย สมัยพิเศษ ณ นครเมลเบิร์น เครือ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>รัฐออสเตรเลีย โดยนายกรัฐมนตรีนิ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วซีแลนด์จะเดินทางเยือนประเทศไทยพร้อมรัฐมนตรีด้านการเปลี่ยนแปลงสภาพภูมิอากาศและสรรพากร และคณะนักธุรกิจระดับผู้บริหารจากบริษัทชั้นนำของนิวซีแลนด์ จำนวน </w:t>
      </w:r>
      <w:r w:rsidRPr="003C25EA">
        <w:rPr>
          <w:rFonts w:ascii="TH SarabunPSK" w:eastAsia="Calibri" w:hAnsi="TH SarabunPSK" w:cs="TH SarabunPSK"/>
          <w:sz w:val="32"/>
          <w:szCs w:val="32"/>
        </w:rPr>
        <w:t>25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บริษัท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ที่ดำเนินงานในอุตสาหกรรมเป้าหมายของไทย เช่น เทคโนโลยีการเกษตรและอาหาร เกษตรแม่นยำ ภาคดิจิทัล และภาคพลังงาน</w:t>
      </w:r>
    </w:p>
    <w:p w:rsidR="003C25E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ถ้อยแถลงร่วมฯ จะเป็นเอกสารผลลัพธ์ของการเยือนไทยอย่างเป็นทางการของนายกรัฐมนตรีนิวซีแลนด์ โดยแสดงเจตนารมณ์ที่ทั้งสองประเทศจะร่วมกันขับเคลื่อนและการเสริมสร้างความสัมพันธ์และความร่วมมือกันในสาขาที่เป็นความสนใจและผลประโยชน์ร่วมกันของทั้งสองประเทศ มีเนื้อหาครอบคลุมความร่วมมือไทย - นิวซีแลนด์ ด้านความสัมพันธ์ทวิภาคี ความร่วมมือด้านความมั่นคง เศรษฐกิจ การค้าและการลงทุน พลังงานทดแทน การส่งเสริมความสัมพันธ์ระดับประชาชน รวมถึงความร่วมมือในระดับภูมิภาค </w:t>
      </w:r>
    </w:p>
    <w:p w:rsidR="005F667A" w:rsidRPr="003C25EA" w:rsidRDefault="003C25EA" w:rsidP="003C25E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25E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>ประโยชน์ที่ไทยจะได้รับ กต. แจ้งว่า การเยือนและการหารือระหว่างนายกรัฐมนตรีและนายกรัฐมนตรีนิวซีแลนด์จะเป็นประโยชน์ในการกระชับและส่งเสริมความสัมพันธ์ระหว่างประเทศไทยก</w:t>
      </w:r>
      <w:r w:rsidR="00561280">
        <w:rPr>
          <w:rFonts w:ascii="TH SarabunPSK" w:eastAsia="Calibri" w:hAnsi="TH SarabunPSK" w:cs="TH SarabunPSK"/>
          <w:sz w:val="32"/>
          <w:szCs w:val="32"/>
          <w:cs/>
        </w:rPr>
        <w:t>ับนิวซีแลนด์ให้ใกล้ชิดและแน่นแฟ้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นมากยิ่งขึ้น และเป็นโอกาสในการประกาศเจตนารมณ์ยกระดับความสัมพันธ์เป็นหุ้นส่วนทางยุทธศาสตร์ในปี </w:t>
      </w:r>
      <w:r w:rsidRPr="003C25EA">
        <w:rPr>
          <w:rFonts w:ascii="TH SarabunPSK" w:eastAsia="Calibri" w:hAnsi="TH SarabunPSK" w:cs="TH SarabunPSK"/>
          <w:sz w:val="32"/>
          <w:szCs w:val="32"/>
        </w:rPr>
        <w:t>2569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ซึ่งเป็นวาระครบรอบ </w:t>
      </w:r>
      <w:r w:rsidRPr="003C25EA">
        <w:rPr>
          <w:rFonts w:ascii="TH SarabunPSK" w:eastAsia="Calibri" w:hAnsi="TH SarabunPSK" w:cs="TH SarabunPSK"/>
          <w:sz w:val="32"/>
          <w:szCs w:val="32"/>
        </w:rPr>
        <w:t>70</w:t>
      </w:r>
      <w:r w:rsidRPr="003C25EA">
        <w:rPr>
          <w:rFonts w:ascii="TH SarabunPSK" w:eastAsia="Calibri" w:hAnsi="TH SarabunPSK" w:cs="TH SarabunPSK"/>
          <w:sz w:val="32"/>
          <w:szCs w:val="32"/>
          <w:cs/>
        </w:rPr>
        <w:t xml:space="preserve"> ปี ของความสัมพันธ์ทางการทูตระหว่างกัน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3915" w:rsidRPr="00E93915" w:rsidRDefault="007920E2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17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93915"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ร่างบันทึกการประชุมคณะกรรมาธิการร่วมว่าด้วยความร่วมมือทวิภาคีไทย - เวียดนาม ครั้งที่ 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ร่างบันทึกการประชุมคณะกรรมาธิการร่วมว่าด้วยความร่วมมือทวิภาคีไทย - เวียดนาม (</w:t>
      </w:r>
      <w:r w:rsidRPr="00E93915">
        <w:rPr>
          <w:rFonts w:ascii="TH SarabunPSK" w:eastAsia="Calibri" w:hAnsi="TH SarabunPSK" w:cs="TH SarabunPSK"/>
          <w:sz w:val="32"/>
          <w:szCs w:val="32"/>
        </w:rPr>
        <w:t>Joint Commission on Bilateral Cooperation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93915">
        <w:rPr>
          <w:rFonts w:ascii="TH SarabunPSK" w:eastAsia="Calibri" w:hAnsi="TH SarabunPSK" w:cs="TH SarabunPSK"/>
          <w:sz w:val="32"/>
          <w:szCs w:val="32"/>
        </w:rPr>
        <w:t>JCBC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) (การประชุมคณะกรรมาธิการร่วมฯ) (ร่างบันทึกการประชุมฯ) ครั้งที่ 5 ทั้งนี้ หากมีความจำเป็นต้องปรับปรุงแก้ไขร่างบันทึกการประชุมดังกล่าว ในส่วนที่มิใช่สาระสำคัญหรือไม่ขัดต่อผลประโยชน์ของไทย ขอให้ กต. พิจารณาดำเนินการได้ โดยไม่ต้องขอความเห็นชอบจากคณะรัฐมนตรีอีกครั้ง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Malgun Gothic" w:eastAsia="Malgun Gothic" w:hAnsi="Malgun Gothic" w:cs="Cordia New"/>
          <w:sz w:val="32"/>
          <w:szCs w:val="32"/>
          <w:cs/>
        </w:rPr>
        <w:tab/>
      </w:r>
      <w:r w:rsidRPr="00E93915">
        <w:rPr>
          <w:rFonts w:ascii="Malgun Gothic" w:eastAsia="Malgun Gothic" w:hAnsi="Malgun Gothic" w:cs="Cordia New"/>
          <w:sz w:val="32"/>
          <w:szCs w:val="32"/>
          <w:cs/>
        </w:rPr>
        <w:tab/>
      </w:r>
      <w:r w:rsidRPr="00E93915">
        <w:rPr>
          <w:rFonts w:ascii="TH SarabunPSK" w:eastAsia="Malgun Gothic" w:hAnsi="TH SarabunPSK" w:cs="TH SarabunPSK" w:hint="cs"/>
          <w:sz w:val="32"/>
          <w:szCs w:val="32"/>
          <w:cs/>
        </w:rPr>
        <w:t xml:space="preserve">2.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>ให้รองนายกรัฐมนตรีและรัฐมนตรีว่าการกระทรวงการต่างประเทศ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(นายปานปรีย์ พหิทธานุกร) ร่วมรับรองร่างบันทึกการประชุมฯ ครั้งที่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5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>(จะมีการรับรองร่างบันทึกการประชุมฯ ครั้งที่ 5 เพื่อเป็นเอกสารผลลัพธ์การประชุมคณะกรรมาธิการร่วม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5 ในวันที่ 11 เมษายน </w:t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ประเทศไทย)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93915" w:rsidRPr="00E93915" w:rsidRDefault="00E93915" w:rsidP="00E9391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93915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ร่างบันทึกการประชุมคณะกรรมาธิการร่วมว่าด้วยความร่วมมือทวิภาคีไทย - เวียดนาม ครั้งที่ 5 (ร่างบันทึกการประชุมฯ) เป็นการแสดงเจตนารมณ์ร่วมของรัฐบาลแห่งราชอาณาจักรไทยและรัฐบาลแห่งสาธารณรัฐสังนิยมเวียดนามที่จะส่งเสริมความร่วมมืออย่างรอบด้าน การทบทวนการพัฒนาการความสัมพันธ์ในด้านต่าง ๆ และกำหนดทิศทางความร่วมมือในระยะต่อไปของทั้ง 2 ประเทศ โดยมีสาระสำคัญเกี่ยวกับ (1) ความเป็นหุ้นส่วนเพื่อสันติภาพที่ยั่งยืน (2) ความเป็นหุ้นส่วนเพื่อการเติบโตที่ยั่งยืน และ (3) ความเป็นหุ้นส่วนเพื่ออนาคตที่ยั่งยืน ซึ่งกระทรวงการต่างประเทศพิจารณาแล้วเห็นว่า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E93915" w:rsidRDefault="00E93915" w:rsidP="005F667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C36801" w:rsidRPr="00C36801" w:rsidRDefault="007920E2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18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การขอยกเว้นการยื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นรายการตามแบบรายการของคนต่างด้าวซึ่งเดินทางเข้ามาในหรือออกไปนอกราชอาณาจักร (แบบ ตม.6)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การขอยกเว้นการยื่นรายการตามแบบรายการของคนต่างด้าวซึ่งเดินทางเข้ามาในหรือออกไปนอกราชอาณาจักร (แบบ ตม.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) ที่บริเวณด่านตรวจคนเข้าเมือง เป็นการชั่วคราว ระหว่างวันที่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15 เมษายน 2567 - 15 ตุลาคม 2567 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ขยาย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นรายการตามแบบรายการของคนต่างด้าวซึ่งเดินทางเข้ามาในหรือออกไปนอกราชอาณาจักร (แบบ ตม.6) (จะสิ้นสุดวันที่ 30 เมษายน 2567)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คนต่างด้าวเดินทางเข้ามาในหรือออกไปนอกราชอาณาจักรผ่านช่องทางของด่านตรวจคนเข้าเมืองทางบก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นรายการตามแบบรายการของคนต่างด้าวซึ่งเดินทางเข้ามาใน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หรือออกไปนอกราชอาณาจักร (แบบ ตม.6) จํานวน 7 ด่าน เช่น ด่านตรวจคนเข้าเมืองเชียงแสน จังหวัดเชียงราย ด่านตรวจคนเข้าเมืองสะพานมิตรภาพไทย-ลาว แห่งที่ 1 จังหวัดหนองคาย ด่านตรวจคนเข้าเมืองสะพานมิตรภาพไทย-ลาว แห่งที่ 2 จังหวัดมุกดาหาร ฯ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1.3 กำหนดให้คนต่างด้าวเดินทางเข้ามาในหรือออกไปนอกราชอาณาจักรผ่านช่องทางของด่านตรวจคนเข้าเมืองทางน้ำที่เดินทางมากับเรือสำราญและกีฬา 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จำนวน 5 ด่าน เช่น ตรวจคนเข้าเมืองจังหวัดภูเก็ต ตรวจคนเข้าเมืองจังหวัดระยอง ฯลฯ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มอบหมายให้กระทรวงมหาดไทย (มท.) ร่วมกับหน่วยงานที่เกี่ยวข้องดำเนินการออกประกาศกระทรวงมหาดไทยให้เป็นไปตามที่กฎหมายกำหนด เพื่อให้เกิดผลในทางปฏิบัติโดยเร็วต่อไป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ที่เกี่ยวข้องกำกับติดตามและประเมินผลกระทบจากการออกประกาศกระทรวงมหาดไทยฉบับนี้ภายหลังครบระยะเวลาที่ประกาศไว้ (</w:t>
      </w:r>
      <w:r w:rsidRPr="00C36801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เดือน) ทั้งนี้ หากมีผลกระทบต่อความมั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นคงและผลประโยชน์แห่งชาติ หน่วยงานความมั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กต.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เสนอว่า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ในคราวประชุมคณะรัฐมนตรีเมื่อวันที่ 3 มีนาคม 2567 มีมติเห็นชอบ ให้ กต. ร่วมกับ มท. สำนักงานตรวจคนเข้าเมือง (ตม.) เร่งพิจารณาดำเนินการเพื่อ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ให้เกิดผลเป็นรูปธรรมโดยเร็วในทุกด่านตรวจคนเข้าเมืองทั่วประเทศ เพื่ออำนวยความสะดวกให้แก่ผู้เดินทางและลดความแออัดบริเวณด่านตรวจคนเข้าเมือง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ต่อมาเมื่อวันที่ 25 มีนาคม 2557 กต. ได้ประชุมหารือกับหน่วยงานที่เกี่ยวข้อง ได้แก่ มท. สำนักงาน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พื่อหารือแนวทางการดำเนินการยกเว้นการยื่นรายการตามแบบรายการของคนต่างด้าวซึ่งเดินทางเข้ามาในหรือออกไปนอกราชอาณาจักร (แบบ ตม.6) โดยหน่วยงานที่เกี่ยวข้อง เห็นควรให้ดำเนินการในพื้นที่ของด่านตรวจคนเข้าเมืองที่เป็นยุทธศาสตร์การท่องเที่ยวของไทย ก่อนขยายไปยังด่านอื่น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ๆ ทั่วประเทศต่อไป พร้อมกันนี้ให้สำนักงานตรวจคนเข้าเมืองประเมินผลกระทบที่จะเกิดในระหว่างมาตรการในการยกเว้นดังกล่าว ที่ประชุมจึงเห็นชอบในหลักการและเสนอแนวทางการยกเว้นแบบ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เป็นการชั่วคราว สำหรับด่านทางบกและทางน้ำที่เป็นยุทธศาสตร์สำคัญด้านเศรษฐกิจการค้าชายแดนของประเทศ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สำหรับการยื่นแบบ ตม.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เป็นเอกสารที่ใช้เก็บข้อมูลของคนต่างด้าว เพื่อประโยชน์ในการตรวจสอบและติดตามคนต่างด้าวตามมาตรา 18 แห่งพระราชบัญญัติคนเข้าเมือง พ.ศ. 2522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ซึ่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งบัญญัติให้บุคคลซึ่งเดินทางเข้ามาในหรือออกไปนอกราชอาณาจักร ต้องยื่นรายการตามแบบที่กำหนดในกฎกระทรวงและผ่านการตรวจอนุญาตของพนักงานเจ้าหน้าที่ของด่านตรวจคนเข้าเมืองประจำเส้นทางนั้น โดยในปี 2560 ได้ยกเลิกให้คนไทยยื่นแบบ ตม.6 และที่ผ่านมาได้ออกประกาศกระทรวงมหาดไทยฯ เพื่อยกเว้นให้คนต่างด้าวบางจำพวกซึ่งเดินทางเข้ามาหรือออกไปนอกราชอาณาจักรโดยยานพาหนะทางอากาศ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นแบบ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6) และยกเว้น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ได้รับการยกเว้นการยื่นรายการตามแบบ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6 เป็นการชั่วคราว ระหว่างวันที่ 1 พฤศจิกายน 2560 - 30 เมษายน 256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ลดความแออัดและอำนวยความสะดวกให้แก่ผู้เดินทางเข้ามาในหรือออกไปนอกราชอาณาจักรบริเวณด่านตรวจคนเข้าเมืองดังกล่า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กต. ได้หารือร่วมกับหน่วยงานที่เกี่ยวข้องเพื่อหาแนวทางลดความแออัดบริเวณหน้าด่านตรวจคนเข้าเมือง เห็นสมควรให้มีการยกเว้นการยื่นรายการตามแบบ ตม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6 เพื่ออำนวยความสะดวกให้กับนักท่องเที่ยวในการเดินทางมาท่องเที่ยวในประเทศไทย ช่วงเดือน เมษายน - ตุลาคม 2567 อีกทั้งจะมีส่วนช่วยกระตุ้นการท่องเที่ยวและเศรษฐกิจได้อย่างต่อเนื่อง ซึ่งเป็นการดำเนินตามมติคณะรัฐมนตรีในข้อ 1 จึงได้ยกร่างประกาศกระทรวงมหาดไทย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ตม.6) ตั้งแต่วันที่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15 เมษายน 2567 - 15 ตุลาคม 2567 โดยมีสาระสำคัญ สรุปได้ดังนี้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ขยายให้คนต่างด้าวที่เดินทางเข้ามาในหรือออกไปนอกราชอาณาจักรผ่านช่องทางของด่านตรวจคนเข้าเมืองสะเดา จังหวัดสงขลา ได้รับการยกเว้นการยื่นรายการตามแบบรายการของคนต่างด้าวซึ่งเดิน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lastRenderedPageBreak/>
        <w:t>ทางเข้ามาในหรือออกไปนอกราชอาณาจักร (แบบ ตม. 6) เป็นการชั่วคราวต่อไปอีกช่วงระยะเวลาหนึ่ง (ระหว่างวันที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1 พฤษภาคม 2567 - 15 ตุลาคม 2567)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4.2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ำหนดให้คนต่างด้าวเดินทางเข้ามาในหรือออกไปนอกราชอาณาจักรผ่านช่องทางของด่านตรวจคนเข้าเมืองทางบก ได้รับการยกเว้นการยื่นรายการตามแบบ ตม.6 จำนวน 7 ด่าน ได้แก่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(1) ด่านตรวจคนเข้าเมืองเชียงแสน จังหวัดเชียงราย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(2) ด่านตรวจคนเข้าเมืองสะพานมิตรภาพไทย-ลาว แห่งที่ 1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จังหวัดหนองคาย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(3) ด่านตรวจคนเข้าเมืองสะพานมิตรภาพไทย-ลาว แห่งที่ 2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จังหวัดมุกดาหาร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(4) ด่านตรวจคนเข้าเมืองคลองลึก จังหวัดสระแก้ว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(5) ด่านตรวจคนเข้าเมืองสุไหงโก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ลก จังหวัดนราธิวาส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(6) ด่านตรวจคนเข้าเมืองเบตง จังหวัดยะลา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(7) ด่านตรวจคนเข้าเมืองปาดังเบซาร์ จังหวัดสงขลา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4.3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กำหนดให้คนต่างด้าวเดินทางเข้ามาในหรือออกไปนอก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>ราชอาณาจักรผ่านช่องทางของด่านตรวจคนเข้าเมืองทางน้ำที่เดินทางมากับเรือสำราญและกีฬา ได้รับการยกเว้นการยื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นรายการตามแบบรายการของคนต่างด้าวซึ่งเดินทางเข้ามาในหรือออกไปนอกราชอาณาจักร (แบบ ตม.6) จำนวน 5 ด่าน ดังนี้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(1) ตรวจคนเข้าเมืองจังหวัดภูเก็ต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(2) ตรวจคนเข้าเมืองจังหวัดระยอง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(3) ตรวจคนเข้าเมืองจังหวัดชลบุรี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(4) ตรวจคนเข้าเมืองจังหวัดกระบ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5) ตรวจคนเข้าเมืองจังหวัดสุราษฎร์ธานี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มาตรการยกเว้นการยื</w:t>
      </w:r>
      <w:r w:rsidR="002D46B1">
        <w:rPr>
          <w:rFonts w:ascii="TH SarabunPSK" w:eastAsia="Calibri" w:hAnsi="TH SarabunPSK" w:cs="TH SarabunPSK"/>
          <w:sz w:val="32"/>
          <w:szCs w:val="32"/>
          <w:cs/>
        </w:rPr>
        <w:t xml:space="preserve">่นแบบ ตม.6 ดังกล่าวจะใช้บังคับ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ระหว่างวันที่ 15 เมษายน 2567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-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F20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2D46B1">
        <w:rPr>
          <w:rFonts w:ascii="TH SarabunPSK" w:eastAsia="Calibri" w:hAnsi="TH SarabunPSK" w:cs="TH SarabunPSK"/>
          <w:sz w:val="32"/>
          <w:szCs w:val="32"/>
          <w:cs/>
        </w:rPr>
        <w:t>15 ตุลาคม 2567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ซึ่งตรงกับช่วงเทศกาลท่องเที่ยวสำคัญของประเทศไทย ซึ่งจะเป็นการอำนวยความสะดวกให้กับนักท่องเที่ยวที่จะเดินทางผ่านด่านตรวจคนเข้าเมืองทั้งทางบกและทางน้ำ อันจะช่วยส่งเสริมให้เกิดการเดินทางท่องเที่ยวจากนักท่องเที่ยวชาวต่างชาติมากยิ่งขึ้น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ในช่วงเดือนเมษายน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2D46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ตุลาคม 2567 </w:t>
      </w:r>
    </w:p>
    <w:p w:rsidR="00E93915" w:rsidRPr="009B0AC8" w:rsidRDefault="00E9391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36801">
        <w:tc>
          <w:tcPr>
            <w:tcW w:w="9594" w:type="dxa"/>
          </w:tcPr>
          <w:p w:rsidR="005F667A" w:rsidRPr="009B0AC8" w:rsidRDefault="005F667A" w:rsidP="000103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36801" w:rsidRPr="00C36801" w:rsidRDefault="007920E2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การแต่งตั้งคณะกรรมการบริหารกองทุนตามพระราชบัญญัติอ้อยและน้ำตาลทราย พ.ศ.</w:t>
      </w:r>
      <w:r w:rsidR="00C36801"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2527</w:t>
      </w:r>
      <w:r w:rsidR="00C36801"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และที่แก้ไขเพิ่มเติม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กระทรวงอุตสาหกรรมเสนอแต่งตั้งกรรมการในคณะกรรมการบริหารกองทุนตามพระราชบัญญัติอ้อยและน้ำตาลทราย พ.ศ.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2527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จํานวน 15 คน เนื่องจากกรรมการเดิมได้ดำรงตำแหน่งครบวาระสองปี ดังนี้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นายประยูร อินสกุล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(ปลัดกระทรวงเกษตรและสหกรณ์) ผู้แทนกระทรวงเกษตรและสหกรณ์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นายเกียรติณรงค์ วงศ์น้อย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(ผู้ตรวจราชการกระทรวงการคลัง)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ผู้แทนกระทรวงการคลัง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นายพูนพงษ์ นัยนาภากรณ์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(ผู้อำนวยการสำนักงานนโยบายและยุทธศาสตร์การค้า)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ผู้แทนกระทรวงพาณิชย์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นายใบน้อย สุวรรณชาตรี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(รองปลัดกระทรวงอุตสาหกรรม)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ผู้แทนกระทรวงอุตสาหกรรม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นางสาวประนิอร เตียวตรานนท์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(ผู้อำนวยการกองจัดทำงบประมาณด้านเศรษฐกิจ 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ผู้แทนสำนักงบประมาณ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นายสุรจิต ลักษณะสุต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(ผู้อำนวยการฝ่ายเศรษฐกิจการเงินภูมิภาค สายองค์กรสัมพันธ์)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ผู้แทนธนาคารแห่งประเทศไทย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นายมนตรี วิศณุพรประสิทธิ์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นายไพบูลย์ ธิติศักดิ์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นายเอกชัย อริยมงคลชัย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10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นายสุวิทย์ พันธุ์วิทยากูล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ผู้แทนชาวไร่อ้อย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  <w:t>11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นายประพันธ์ศักดิ์ ว่องไพฑูรย์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นายคมกริช นาคะลักษณ์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  <w:t xml:space="preserve">13.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นายปริวัฒก์ กาญจนธนา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นายวรพจน์ จันทรา</w:t>
      </w:r>
      <w:r w:rsidRPr="00C368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ผู้แทนโรงงาน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3680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นายอาทิตย์ วุฒิคะโร</w:t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C36801" w:rsidRPr="00C36801" w:rsidRDefault="00C36801" w:rsidP="00C3680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68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/>
          <w:sz w:val="32"/>
          <w:szCs w:val="32"/>
        </w:rPr>
        <w:tab/>
      </w:r>
      <w:r w:rsidRPr="00C368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9 เมษายน 2567 เป็นต้นไป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20E2" w:rsidRPr="007920E2" w:rsidRDefault="007920E2" w:rsidP="007920E2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</w:t>
      </w:r>
    </w:p>
    <w:sectPr w:rsidR="007920E2" w:rsidRPr="007920E2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08" w:rsidRDefault="00982E08" w:rsidP="004910B6">
      <w:pPr>
        <w:spacing w:after="0" w:line="240" w:lineRule="auto"/>
      </w:pPr>
      <w:r>
        <w:separator/>
      </w:r>
    </w:p>
  </w:endnote>
  <w:endnote w:type="continuationSeparator" w:id="0">
    <w:p w:rsidR="00982E08" w:rsidRDefault="00982E0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08" w:rsidRDefault="00982E08" w:rsidP="004910B6">
      <w:pPr>
        <w:spacing w:after="0" w:line="240" w:lineRule="auto"/>
      </w:pPr>
      <w:r>
        <w:separator/>
      </w:r>
    </w:p>
  </w:footnote>
  <w:footnote w:type="continuationSeparator" w:id="0">
    <w:p w:rsidR="00982E08" w:rsidRDefault="00982E0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390" w:rsidRDefault="0001039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26D3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10390" w:rsidRDefault="00010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C17"/>
    <w:multiLevelType w:val="hybridMultilevel"/>
    <w:tmpl w:val="7D1864B8"/>
    <w:lvl w:ilvl="0" w:tplc="899A39D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0390"/>
    <w:rsid w:val="0006398B"/>
    <w:rsid w:val="000C076F"/>
    <w:rsid w:val="000C483A"/>
    <w:rsid w:val="000C6F31"/>
    <w:rsid w:val="00155BA1"/>
    <w:rsid w:val="00182D34"/>
    <w:rsid w:val="002D2635"/>
    <w:rsid w:val="002D46B1"/>
    <w:rsid w:val="003C25EA"/>
    <w:rsid w:val="003C3ED6"/>
    <w:rsid w:val="003C4BA5"/>
    <w:rsid w:val="00401944"/>
    <w:rsid w:val="00410BA9"/>
    <w:rsid w:val="004207BB"/>
    <w:rsid w:val="004549A1"/>
    <w:rsid w:val="004910B6"/>
    <w:rsid w:val="004D5FBA"/>
    <w:rsid w:val="00532486"/>
    <w:rsid w:val="00561280"/>
    <w:rsid w:val="005E0608"/>
    <w:rsid w:val="005F667A"/>
    <w:rsid w:val="00650750"/>
    <w:rsid w:val="006563D7"/>
    <w:rsid w:val="00726D34"/>
    <w:rsid w:val="007437E3"/>
    <w:rsid w:val="0075738A"/>
    <w:rsid w:val="007920E2"/>
    <w:rsid w:val="007E204A"/>
    <w:rsid w:val="008060FF"/>
    <w:rsid w:val="0080710B"/>
    <w:rsid w:val="008217D3"/>
    <w:rsid w:val="00830E94"/>
    <w:rsid w:val="0086288B"/>
    <w:rsid w:val="00863186"/>
    <w:rsid w:val="008C73D5"/>
    <w:rsid w:val="008D1044"/>
    <w:rsid w:val="00905327"/>
    <w:rsid w:val="009075ED"/>
    <w:rsid w:val="00982E08"/>
    <w:rsid w:val="009B0AC8"/>
    <w:rsid w:val="009B4260"/>
    <w:rsid w:val="00A71DFD"/>
    <w:rsid w:val="00A823C5"/>
    <w:rsid w:val="00AC7765"/>
    <w:rsid w:val="00AD330A"/>
    <w:rsid w:val="00B04917"/>
    <w:rsid w:val="00B14938"/>
    <w:rsid w:val="00BA4AE9"/>
    <w:rsid w:val="00BD2B31"/>
    <w:rsid w:val="00BD7147"/>
    <w:rsid w:val="00BF5315"/>
    <w:rsid w:val="00C36801"/>
    <w:rsid w:val="00CC59F1"/>
    <w:rsid w:val="00D22996"/>
    <w:rsid w:val="00D326F7"/>
    <w:rsid w:val="00D96C06"/>
    <w:rsid w:val="00DA3180"/>
    <w:rsid w:val="00DC0589"/>
    <w:rsid w:val="00DE0ABC"/>
    <w:rsid w:val="00DF200E"/>
    <w:rsid w:val="00DF4F39"/>
    <w:rsid w:val="00E93915"/>
    <w:rsid w:val="00EC1BCB"/>
    <w:rsid w:val="00F53741"/>
    <w:rsid w:val="00FD3A5B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54E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C25EA"/>
  </w:style>
  <w:style w:type="table" w:customStyle="1" w:styleId="TableGrid2">
    <w:name w:val="Table Grid2"/>
    <w:basedOn w:val="TableNormal"/>
    <w:next w:val="TableGrid"/>
    <w:uiPriority w:val="39"/>
    <w:rsid w:val="003C4BA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C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15183</Words>
  <Characters>86544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2024-04-09T09:10:00Z</cp:lastPrinted>
  <dcterms:created xsi:type="dcterms:W3CDTF">2024-04-10T00:38:00Z</dcterms:created>
  <dcterms:modified xsi:type="dcterms:W3CDTF">2024-04-10T00:38:00Z</dcterms:modified>
</cp:coreProperties>
</file>