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http</w:t>
      </w:r>
      <w:r w:rsidRPr="00E210BD">
        <w:rPr>
          <w:rFonts w:ascii="TH SarabunPSK" w:hAnsi="TH SarabunPSK" w:cs="TH SarabunPSK"/>
          <w:sz w:val="32"/>
          <w:szCs w:val="32"/>
          <w:cs/>
        </w:rPr>
        <w:t>://</w:t>
      </w:r>
      <w:r w:rsidRPr="00E210BD">
        <w:rPr>
          <w:rFonts w:ascii="TH SarabunPSK" w:hAnsi="TH SarabunPSK" w:cs="TH SarabunPSK"/>
          <w:sz w:val="32"/>
          <w:szCs w:val="32"/>
        </w:rPr>
        <w:t>www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thaigov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go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th</w:t>
      </w:r>
    </w:p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C661D2" w:rsidRPr="00E210BD" w:rsidRDefault="005F667A" w:rsidP="00E210BD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8A5198">
        <w:rPr>
          <w:rFonts w:ascii="TH SarabunPSK" w:hAnsi="TH SarabunPSK" w:cs="TH SarabunPSK" w:hint="cs"/>
          <w:sz w:val="32"/>
          <w:szCs w:val="32"/>
          <w:cs/>
        </w:rPr>
        <w:t xml:space="preserve">25 เมษายน </w:t>
      </w:r>
      <w:r w:rsidR="00C661D2" w:rsidRPr="00E210BD">
        <w:rPr>
          <w:rFonts w:ascii="TH SarabunPSK" w:hAnsi="TH SarabunPSK" w:cs="TH SarabunPSK"/>
          <w:sz w:val="32"/>
          <w:szCs w:val="32"/>
          <w:cs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เวลา 09.00 น. พลเอก ประยุทธ์  จันทร์โอชา นายกรัฐมนตรี เป็นประธานการประชุมคณะรัฐมนตรี </w:t>
      </w:r>
      <w:r w:rsidR="00C661D2" w:rsidRPr="00E210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="00C661D2" w:rsidRPr="00E210B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210B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  <w:r w:rsidR="00E210BD">
        <w:rPr>
          <w:rFonts w:ascii="THSarabunPSK" w:hAnsi="THSarabunPSK" w:hint="cs"/>
          <w:color w:val="000000"/>
          <w:sz w:val="27"/>
          <w:szCs w:val="27"/>
          <w:shd w:val="clear" w:color="auto" w:fill="FFFFFF"/>
          <w:cs/>
        </w:rPr>
        <w:t xml:space="preserve"> </w:t>
      </w:r>
    </w:p>
    <w:p w:rsidR="00743646" w:rsidRPr="00E210BD" w:rsidRDefault="00743646" w:rsidP="0074364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1.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การให้ใช้บังคับผังเมืองรวมชุมชนนายาง 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>จังหวัดเพชรบุรี พ.ศ. ....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 ชุมชนดำเนิน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สะดวก - ศรีดอนไผ่ - ประสาทสิทธิ์ จังหวัดราชบุรี พ.ศ. ....</w:t>
      </w:r>
    </w:p>
    <w:p w:rsidR="00743646" w:rsidRPr="00743646" w:rsidRDefault="00743646" w:rsidP="00743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74364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64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43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3.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รายงานผลการกู้เงินล่วงหน้าเพื่อปรับโครงสร้างหนี้พันธบัตรรัฐบาลรุ่น </w:t>
      </w:r>
      <w:r w:rsidRPr="00743646">
        <w:rPr>
          <w:rFonts w:ascii="TH SarabunPSK" w:hAnsi="TH SarabunPSK" w:cs="TH SarabunPSK"/>
          <w:sz w:val="32"/>
          <w:szCs w:val="32"/>
        </w:rPr>
        <w:t>LB</w:t>
      </w:r>
      <w:r w:rsidRPr="00743646">
        <w:rPr>
          <w:rFonts w:ascii="TH SarabunPSK" w:hAnsi="TH SarabunPSK" w:cs="TH SarabunPSK"/>
          <w:sz w:val="32"/>
          <w:szCs w:val="32"/>
          <w:cs/>
        </w:rPr>
        <w:t>236</w:t>
      </w:r>
      <w:r w:rsidRPr="00743646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43646">
        <w:rPr>
          <w:rFonts w:ascii="TH SarabunPSK" w:hAnsi="TH SarabunPSK" w:cs="TH SarabunPSK"/>
          <w:sz w:val="32"/>
          <w:szCs w:val="32"/>
        </w:rPr>
        <w:t>17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743646">
        <w:rPr>
          <w:rFonts w:ascii="TH SarabunPSK" w:hAnsi="TH SarabunPSK" w:cs="TH SarabunPSK"/>
          <w:sz w:val="32"/>
          <w:szCs w:val="32"/>
        </w:rPr>
        <w:t>2566</w:t>
      </w:r>
    </w:p>
    <w:p w:rsid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4.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รายงานผลการดำเนินการตามพระราชบัญญัติคุ้มครองแรงงานในงานประมง 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พ.ศ.</w:t>
      </w:r>
      <w:r w:rsidR="00BF1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2562 (ระหว่างวันที่ </w:t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1 มกราคม 2564 - 31 ธันวาคม 2564) 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5.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รายงานการเงินแผ่นดิน ประจำปีงบประมาณ พ.ศ. 2565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43646">
        <w:rPr>
          <w:rFonts w:ascii="TH SarabunPSK" w:hAnsi="TH SarabunPSK" w:cs="TH SarabunPSK"/>
          <w:sz w:val="32"/>
          <w:szCs w:val="32"/>
        </w:rPr>
        <w:t>6.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รายงานประจำปี 2565 ของสำนักงานคณะกรรมการนโยบายเขตพัฒนาพิเศษภาค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ตะวันออกและผลการสอบบัญชี สำหรับปีสิ้นสุดวันที่ 30 กันยายน 2565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7.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รายงานประจำปีงบประมาณ พ.ศ. 2565 กองทุนยุติธรรม</w:t>
      </w:r>
    </w:p>
    <w:p w:rsidR="00040E3F" w:rsidRPr="00743646" w:rsidRDefault="00743646" w:rsidP="00040E3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 w:hint="cs"/>
          <w:sz w:val="32"/>
          <w:szCs w:val="32"/>
          <w:cs/>
        </w:rPr>
        <w:t>8</w:t>
      </w:r>
      <w:r w:rsidR="00040E3F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รายงานสรุปผลการพิจารณาในภาพรวมต่อข้อเสนอแนะมาตรการการคุ้มครอง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สิทธิด้านสุขภาพและสิทธิเด็กในสถานการณ์การใช้กัญชาในประเทศไทย</w:t>
      </w:r>
    </w:p>
    <w:p w:rsidR="00743646" w:rsidRPr="00E210BD" w:rsidRDefault="00743646" w:rsidP="00743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40E3F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 w:hint="cs"/>
          <w:sz w:val="32"/>
          <w:szCs w:val="32"/>
          <w:cs/>
        </w:rPr>
        <w:t>9</w:t>
      </w:r>
      <w:r w:rsidR="00040E3F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ขออนุมัติวงเงินงบประมาณรายจ่ายประจำปีงบประมาณ พ.ศ. 2566 งบกลาง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เพื่อชำระเป็นเงินอุดหนุน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องค์การระหว่างประเทศที่ไทยเข้าร่วมเป็นสมาชิก</w:t>
      </w:r>
    </w:p>
    <w:p w:rsidR="00330507" w:rsidRPr="00330507" w:rsidRDefault="00743646" w:rsidP="0033050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 w:hint="cs"/>
          <w:sz w:val="32"/>
          <w:szCs w:val="32"/>
          <w:cs/>
        </w:rPr>
        <w:t>10.</w:t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>การจัดทำแผนการหารือระหว่างกระทรวงการต่างประเทศแห่งราชอาณาจักรไทย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>กับกระทรวงการต่างประเทศแห่งสหพันธรัฐรัสเซีย ฉบับที่ 5 (พ.ศ. 2566 - 2568)</w:t>
      </w:r>
    </w:p>
    <w:p w:rsidR="00330507" w:rsidRPr="00330507" w:rsidRDefault="00330507" w:rsidP="0033050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 w:hint="cs"/>
          <w:sz w:val="32"/>
          <w:szCs w:val="32"/>
          <w:cs/>
        </w:rPr>
        <w:t>11.</w:t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ร่างบันทึกความเข้าใจว่าด้วยความร่วมมือด้านพลศึกษา และการกีฬา 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กระทรวงการท่องเที่ยวและกีฬาแห่งราชอาณาจักรไทยกับกระทรวงการกีฬาแห่ง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สหพันธรัฐรัสเซีย</w:t>
      </w:r>
    </w:p>
    <w:p w:rsidR="00330507" w:rsidRPr="00330507" w:rsidRDefault="00330507" w:rsidP="0033050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 w:hint="cs"/>
          <w:sz w:val="32"/>
          <w:szCs w:val="32"/>
          <w:cs/>
        </w:rPr>
        <w:t>12.</w:t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ร่างเอกสารผลลัพธ์การประชุมคณะกรรมาธิการร่วมว่าด้วยความร่วมมือทวิภาคี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ไทย-รัสเซีย ครั้งที่ 8</w:t>
      </w:r>
    </w:p>
    <w:p w:rsidR="00743646" w:rsidRPr="00E210BD" w:rsidRDefault="00743646" w:rsidP="0074364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43646" w:rsidRPr="00743646" w:rsidRDefault="004D73B5" w:rsidP="00FD2F4D">
      <w:pPr>
        <w:spacing w:after="0" w:line="320" w:lineRule="exact"/>
        <w:ind w:right="-46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13.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 ในคณะกรรมการส่งเสริมความเท่าเทียมระหว่าง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เพศ</w:t>
      </w:r>
    </w:p>
    <w:p w:rsidR="00743646" w:rsidRPr="00743646" w:rsidRDefault="004D73B5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14.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การโอนข้าราชพลเรือนสามัญเพื่อแต่งตั้งให้ดำรงตำแหน่งเลขาธิการราชบัณฑิตย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สภา</w:t>
      </w:r>
    </w:p>
    <w:p w:rsidR="00743646" w:rsidRPr="00743646" w:rsidRDefault="004D73B5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15.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การแต่งตั้งประธานกรรมการและคณะกรรมการในคณะกรรมการการท่าเรือแห่ง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ประเทศไทย (ครบกำหนดออกตามวาระ)</w:t>
      </w:r>
    </w:p>
    <w:p w:rsidR="00743646" w:rsidRPr="00743646" w:rsidRDefault="00743646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16.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การขอต่อเวลาการดำรงตำแหน่งอธิบดีกรมประชาสัมพันธ์ </w:t>
      </w:r>
    </w:p>
    <w:p w:rsidR="00743646" w:rsidRPr="00743646" w:rsidRDefault="00BF1AD5" w:rsidP="00BF1AD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</w:t>
      </w:r>
    </w:p>
    <w:p w:rsidR="008A5198" w:rsidRPr="00743646" w:rsidRDefault="008A5198">
      <w:pPr>
        <w:rPr>
          <w:rFonts w:ascii="TH SarabunPSK" w:hAnsi="TH SarabunPSK" w:cs="TH SarabunPSK" w:hint="cs"/>
          <w:sz w:val="32"/>
          <w:szCs w:val="32"/>
          <w:cs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E210BD" w:rsidTr="00927F24">
        <w:tc>
          <w:tcPr>
            <w:tcW w:w="9594" w:type="dxa"/>
          </w:tcPr>
          <w:p w:rsidR="005F667A" w:rsidRPr="00E210BD" w:rsidRDefault="005F66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927F24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การให้ใช้บังคับผังเมืองรวมชุมชนนายาง </w:t>
      </w:r>
      <w:r w:rsidR="00505AA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หนองจอก</w:t>
      </w:r>
      <w:r w:rsidR="00505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จังหวัดเพชรบุรี พ.ศ. ....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การให้ใช้บังคับผังเมืองรวมชุมชนนายาง - หนองจอก จังหวัดเพชรบุรี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ร่างประกาศกระทรวงมหาดไทย ตามที่กระทรวงมหาดไทยเสนอ เป็นการกำหนดให้ใช้บังคับ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ผังเมืองรวม ในท้องที่ตำบลหนองจอก และตำบลปึกเตียน อำเภอท่ายาง ตำบลหนองศาลา ตำบลบางเก่า ตำบลนายาง ตำบลดอนขุนห้วย และตำบลเขาใหญ่ อำเภอชะอำ จังหวัดเพชรบุรี 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เป็นศูนย์กลางหลักการค้าและบริการรับซื้อผลิตภัณฑ์ทางการเกษตร ให้บริการแก่ชุมชนโดยรอบ รวมทั้งเป็นแหล่งท่องเที่ยวชายทะเล การท่องเที่ยวเชิงสุขภาพ ประวัติศาสตร์ โดยได้มีการกำหนดแผนผังและการใช้ประโยชน์ที่ดินภายในเขตผังเมืองรวมจำแนกออกเป็น 11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 และกำหนดการใช้ประโยชน์ที่ดินตามแผนผังโครงการคมนาคมและขนส่ง รวมทั้งกำหนดการใช้ประโยชน์ที่ดินตามแผนผังแสดงโครงการกิจการสาธารณูปโภค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กำหนดให้ใช้บังคับผังเมืองรวม ในท้องที่ตำบลหนองจอก และตำบลปึกเตียน อำเภอท่ายาง 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ตำบลหนองศาลา ตำบลบางเก่า ตำบลนายาง ตำบลดอนขุนห้วย และตำบลเขาใหญ่ อำเภอชะอำ จังหวัดเพชรบุรี โดยมีวัตถุประสงค์เพื่อใช้เป็นแนวทางในการพัฒนาพื้นที่ชุมชนนายาง - หนองจอก ให้เป็นเมืองน่าอยู่ มีการพัฒนาอย่างสมดุลและยั่งยืนรองรับการขยายตัวจากพื้นที่ชุมชนหลักของจังหวัดเพชรบุรี ส่งเสริมการพัฒนาเศรษฐกิจของชุมชนให้สามารถพึ่งพาตนเองได้ด้วยการพัฒนาให้เป็นศูนย์กลางการผลิตทางด้านเกษตรกรรมแบบผสมผสาน การพัฒนาการท่องเที่ยว การชลประทาน และการระบายน้ำ ตลอดจนการดำรงรักษาสภาพแวดล้อมทางธรรมชาติในพื้นที่ราบลุ่มและชายฝั่งทะเล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กำหนดให้ผังเมืองรวมชุมชนนายาง - หนองจอก จังหวัดเพชรบุรี มีนโยบายและมาตรการเพื่อจัดระบบและควบคุมการใช้ประโยชน์ที่ดิน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สามารถรองรับและสอดคล้องกับการขยายตัวของพื้นที่ชุมชนในอนาคต รวมทั้งส่งเสริมและพัฒนาเศรษฐกิจชุมชน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1.1 ส่งเสริมการพัฒนาพื้นที่ชุมชนนายาง - หนองจอก ให้เป็นศูนย์กลางการค้า การบริการ และการท่องเที่ยวของจังหวัดเพชรบุรี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1.2 ส่งเสริมการพัฒนาและรักษาพื้นที่เกษตรกรรมของชุมชนโดยพัฒนาการเกษตรและรักษาพื้นที่เกษตรกรรมชลประทาน พื้นที่ที่มีศักยภาพด้านการเกษตรและพื้นที่ตามโครงการพระราชประสงค์ และส่งเสริมการเป็นศูนย์กลางการเรียนรู้ และพัฒนาด้านการเกษตรเพื่อสร้างฐานราก ทางเศรษฐกิจที่ยั่งยืนให้ประชากรในพื้นที่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1.3 ส่งเสริมการพัฒนาด้านการท่องเที่ยวอย่างยั่งยืนเพื่อเป็นพื้นที่รองรับการขยายตัว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ด้านการท่องเที่ยวของจังหวัดเพชรบุรีและภูมิภาคที่สอดคล้องกับลักษณะทางกายภาพและสภาพแวดล้อมของพื้นที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1.4 ดำรงรักษาและควบคุมพื้นที่อ่อนไหวต่อการพัฒนา ได้แก่ พื้นที่ป่าไม้และภูเขาสูง พื้นที่เพื่อการเก็บกัก และระบายน้ำ และพื้นที่ชายฝั่งทะเล เพื่อการป้องกันภัยพิบัติ การรักษาทรัพยากรธรรมชาติและสิ่งแวดล้อม ลดภาวะโลกร้อน การลดการใช้พลังงาน และการเพิ่มพื้นที่สีเขียว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1.5 พัฒนาโครงสร้างพื้นฐาน การสาธารณูปโภค และสาธารณูปการ ให้เพียงพอและได้มาตรฐาน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1.6 ส่งเสริมการพัฒนาอุตสาหกรรมขนาดกลางและขนาดเล็กซึ่งปลอดมลพิษ และเกี่ยวเนื่องกับกิจกรรมการผลิตในพื้นที่ให้อยู่ในพื้นที่ที่เหมาะสม อาทิ อุตสาหกรรมการเกษตรการผลิตอาหาร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ขนม ผลิตภัณฑ์ชุมชน และสินค้าสำหรับการท่องเที่ยวเพื่อสร้างรายได้ให้ชุมชน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11 ประเภท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927F24" w:rsidRPr="00E210BD" w:rsidTr="00505AA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927F24" w:rsidRPr="00E210BD" w:rsidTr="00505AA9">
        <w:tc>
          <w:tcPr>
            <w:tcW w:w="4508" w:type="dxa"/>
            <w:tcBorders>
              <w:top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</w:t>
            </w:r>
            <w:r w:rsidR="00560A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(สีเหลือง) จำแนกเป็นที่ดินประเภท ย. 1 และ ย. 2 ดังนี้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 ย. 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วัตถุประสงค์เพื่อเป็นพื้นที่รองรับการอยู่อาศัยของชุมชนในบริเวณพื้นที่ตั้งถิ่นฐานดั้งเดิมให้ก่อสร้างอาคารที่มีความสูงไม่เกิน 15 เมตร เว้นแต่บริเวณ ย. 1 - 2 และ ย. 1 - 3 ให้ก่อสร้างอาคารที่มีความสูงไม่เกิน 6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สุสานฌาปนสถาน กำจัดมูลฝอย และโรงงานอุตสาหกรรมที่สามารถประกอบกิจการได้ เช่น การทำขนมเค้ก ซ่อมรองเท้า ซักรีด เป็นต้น </w:t>
            </w:r>
          </w:p>
        </w:tc>
      </w:tr>
      <w:tr w:rsidR="00927F24" w:rsidRPr="00E210BD" w:rsidTr="00505AA9">
        <w:trPr>
          <w:trHeight w:val="3394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 ย. 2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tabs>
                <w:tab w:val="left" w:pos="305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tabs>
                <w:tab w:val="left" w:pos="149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มีวัตถุประสงค์เพื่อเป็นพื้นที่รองรับการอยู่อาศัยของชุมชนบริเวณพื้นที่พัฒนาใหม่ และเป็นพื้นที่รองรับการขยายตัวของการอยู่อาศัยบริเวณริมชายฝั่งทะเลอ่าวไทย ให้ก่อสร้างอาคารที่มีความสูงไม่เกิน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เมตร ห้ามการใช้ประโยชน์ที่ดินเป็นอุปสรรคต่อการอยู่อาศัยที่ดี ได้แก่ การทำฟาร์มเลี้ยงสัตว์ คลังเชื้อเพลิง สุสาน ฌาปนสถาน กำจัดวัตถุอันตราย และโรงงานอุตสาหกรรมที่สามารถประกอบกิจการได้ เช่น การทำไอศกรีม การทำน้ำดื่ม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560AF1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ที่ดินประเภทที่อยู่อาศัยหนาแน่นปานกลาง </w:t>
            </w:r>
          </w:p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(สีส้ม) จำแนกเป็นที่ดินประเภท ย. 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มีวัตถุประสงค์เพื่อเป็นศูนย์กลางการอยู่อาศัยที่มีความหนาแน่นปานกลาง สำหรับเป็นพื้นที่รองรับการขยายตัวของชุมชนจากการพัฒนาพื้นที่บริเวณศูนย์กลางหลักด้านการค้า การบริการ การท่องเที่ยวและนันทนาการแก่ชุมชนและภูมิภาค ให้ก่อสร้างอาคารที่มีความสูงไม่เกิน 23 เมตร ห้ามการใช้ที่ดินที่เป็นอุปสรรคต่อการอยู่อาศัยที่ดี ได้แก่ การทำฟาร์มเลี้ยงสัตว์ คลังเชื้อเพลิง สุสาน ฌาปนสถาน กำจัดมูลฝอย และโรงงานอุตสาหกรรมที่สามารถประกอบกิจการได้ เช่น การทำน้ำแข็ง การพิมพ์หรือทำแฟ้มเอกสาร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ที่ดินประเภทพาณิชยกรรมและที่อยู่อาศัยหนาแน่นมาก (สีแดง) จำแนกเป็นที่ดินประเภท พ. 1 และ พ. 2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3.1 ที่ดินประเภท พ. 1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ศูนย์กลางพาณิชยกรรมรองที่มีบทบาทเป็นศูนย์กลางการค้าและบริการแก่ชุมชนในระดับท้องถิ่น ให้ก่อสร้างอาคารที่มีความสูงไม่เกิน 23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 ฌาปนสถาน จัดสรรที่ดินเพื่อประกอบอุตสาหกรรม กำจัดวัตถุอันตราย และโรงานอุตสาหกรรมที่สามารถประกอบกิจการได้ เช่น การทำขนมปัง น้ำดื่ม การบรรจุสินค้า เป็นต้น</w:t>
            </w:r>
          </w:p>
        </w:tc>
      </w:tr>
      <w:tr w:rsidR="00927F24" w:rsidRPr="00E210BD" w:rsidTr="00505AA9">
        <w:trPr>
          <w:trHeight w:val="2552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3.2 ที่ดินประเภท พ. 2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มีวัตถุประสงค์เพื่อเป็นศูนย์กลางพาณิชยกรรมหลักที่มีบทบาทการเป็นศูนย์กลางการค้า การบริการและการท่องเที่ยวของจังหวัดเพชรบุรีและภูมิภาคเพื่อส่งเสริมการพัฒนาเศรษฐกิจของพื้นที่ ให้ก่อสร้างอาคารที่มีความสูงไม่เกิน 12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 ฌาปนสถาน กำจัดมูลฝอย และโรงงานอุตสาหกรรมที่สามารถประกอบกิจการได้ เช่น การพาสเจอร์ไรส์นมสด ทำขนมเค้ก ทำน้ำดื่ม เป็นต้น</w:t>
            </w:r>
          </w:p>
        </w:tc>
      </w:tr>
      <w:tr w:rsidR="00927F24" w:rsidRPr="00E210BD" w:rsidTr="00505AA9">
        <w:trPr>
          <w:trHeight w:val="2945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 จำแนกเป็นที่ดินประเภท ก.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มีวัตถุประสงค์เพื่อเกษตรกรรม การสงวนรักษาสภาพทางธรรมชาติ และการส่งเสริมเศรษฐกิจการเกษตร ให้ก่อสร้างอาคารที่มีความสูงไม่เกิน 12 เมตร ห้ามการใช้ประโยชน์ที่ดิน ได้แก่ คลังเชื้อเพลิง จัดสรรที่ดินเพื่อประกอบอุตสาหกรรมการอยู่อาศัยหรือประกอบพาณิชยกรรมประเภทห้องแถว ตึกแถว และโรงงานอุตสาหกรรมที่สามารถประกอบกิจการได้ เช่น การทำเครื่องประดับ ซ่อมรองเท้าหรือเครื่องหนัง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ที่ดินประเภทอนุรักษ์ชนบทและเกษตรกรรม     (สีขาวมีกรอบและเส้นทแยงเขียว) จำแนกเป็นที่ดินประเภท อก.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ให้เป็นพื้นที่เกษตรกรรมพัฒนาเกษตรกรรมผสมผสานแหล่งเรียนรู้ทางการเกษตรและพื้นที่เกษตรกรรมตามโครงการพระราชประสงค์ให้ก่อสร้างอาคารที่มีความสูงไม่เกิน 7 เมตร ห้ามการใช้ประโยชน์ที่ดิน ได้แก่ โรงงานทุกจำพวกตามกฎหมายว่าด้วยโรงงาน โรงแรม การอยู่อาศัยประเภทอาคารชุด หอพัก เป็นต้น</w:t>
            </w:r>
          </w:p>
        </w:tc>
      </w:tr>
      <w:tr w:rsidR="00927F24" w:rsidRPr="00E210BD" w:rsidTr="00505AA9">
        <w:trPr>
          <w:trHeight w:val="1985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 จำแนกเป็นที่ดินประเภท ล.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มีวัตถุประสงค์เพื่อสงวนรักษาพื้นที่โล่งเพื่อการพักผ่อนหย่อนใจ นันทนาการของชุมชน เพื่อการรักษาสภาพแวดล้อมของลำคลองและชายฝั่ง และเพื่อการระบายน้ำ ในที่ดินเอกชนให้ก่อสร้างอาคารที่มีความสูงไม่เกิน 6 เมตร และห้ามการใช้ประโยชน์ที่ดินที่ส่งผลกระทบต่อพื้นที่ เช่น การทำฟาร์มเลี้ยงสัตว์ การอยู่อาศัยประเภทห้องแถว ตึกแถว บ้านแถว กำจัดมูลฝอย เป็นต้น</w:t>
            </w:r>
          </w:p>
        </w:tc>
      </w:tr>
      <w:tr w:rsidR="00927F24" w:rsidRPr="00E210BD" w:rsidTr="00505AA9">
        <w:trPr>
          <w:trHeight w:val="1822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7.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ที่ดินประเภทอนุรักษ์ป่าไม้ (สีเขียวอ่อนมีเส้นทแยงสีขาว) จำแนกเป็นที่ดินประเภท อป.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มีวัตถุประสงค์เพื่อดำรงรักษาป่าไม้ในบริเวณพื้นที่ป่าสงวนแห่งชาติ และพื้นที่ป่าไม้ตามมติคณะรัฐมนตรี ในที่ดินเอกชนให้ก่อสร้างอาคารที่มีความสูงไม่เกิน 6 เมตร โดยให้ใช้ประโยชน์ที่ดินเพื่อเกษตรกรรม การอยู่อาศัยประเภทบ้านเดี่ยวที่มีใช่การจัดสรรที่ดิน</w:t>
            </w:r>
          </w:p>
        </w:tc>
      </w:tr>
      <w:tr w:rsidR="00927F24" w:rsidRPr="00E210BD" w:rsidTr="00505AA9">
        <w:trPr>
          <w:trHeight w:val="2317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 จำแนกเป็นที่ดินประเภท ศษ.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มีวัตถุประสงค์เพื่อดำรงไว้ซึ่งสถาบันการศึกษาเพื่อให้บริการด้านวิชาการความรู้ เพื่อเป็นบริการขั้นพื้นฐานแก่ชุมชน การศึกษา หรือเกี่ยวข้องกับการศึกษา สถาบันราชการ การสาธารณูปโภค ที่เป็นของรัฐหรือสาธารณประโยชน์ เช่น โรงเรียบ้านบ่อโพง โรงเรียนหนองจอกวิทยา โรงเรียนบ้านนายาง เป็นต้น</w:t>
            </w:r>
          </w:p>
        </w:tc>
      </w:tr>
      <w:tr w:rsidR="00927F24" w:rsidRPr="00E210BD" w:rsidTr="00505AA9">
        <w:trPr>
          <w:trHeight w:val="2407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ที่ดินประเภทที่โล่งเพื่อการรักษาคุณภาพสิ่งแวดล้อม (สีฟ้า) จำแนกเป็นที่ดินประเภท ลส.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มีวัตถุประสงค์เพื่อการรักษาคุณภาพสิ่งแวดล้อมหรือเกี่ยวข้องกับการรักษาคุณภาพสิ่งแวดล้อม การรักษาทรัพยากรทางทะเล และชายฝั่ง การอนุรักษ์พันธุ์สัตว์น้ำ การประมงชายฝั่ง การคมนาคมและขนส่งทางน้ำ การสาธารณูปโภค และสาธารณูปการ และสาธารณประโยชน์ คือ บริเวณเส้นขนานระยะ 500 เมตร กับริมฝั่งทะเล อ่าวไทย ฝั่งตะวันออก</w:t>
            </w:r>
          </w:p>
        </w:tc>
      </w:tr>
      <w:tr w:rsidR="00927F24" w:rsidRPr="00E210BD" w:rsidTr="00505AA9">
        <w:trPr>
          <w:trHeight w:val="1421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 จำแนกเป็นที่ดินประเภท ศน.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มีวัตถุประสงค์เพื่อดำรงรักษาไว้ซึ่งสถาบันศาสนา การศึกษา สถาบันราชการ หรือสาธารณประโยชน์เท่านั้น เช่น วัดหนองจอก วัดนายาง วัดหุบกะพง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 (สีน้ำเงิน) จำแนกเป็นที่ดินประเภท ส.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มีวัตถุประสงค์เพื่อกิจการของรัฐ กิจการเกี่ยวกับการสาธารณูปโภคและสาธารณูปการ หรือสาธารณประโยชน์เท่านั้น เช่น ที่ทำการองค์การบริหารส่วนตำบลหนองจอก โรงพยาบาลส่งเสริมสุขภาพตำบลปึกเตียน ศูนย์พัฒนาเด็กเล็กบ้านนิคมพัฒนาตนเอง เป็นต้น</w:t>
            </w:r>
          </w:p>
        </w:tc>
      </w:tr>
    </w:tbl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E210BD">
        <w:rPr>
          <w:rFonts w:ascii="TH SarabunPSK" w:hAnsi="TH SarabunPSK" w:cs="TH SarabunPSK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กำหนดการใช้ประโยชน์ที่ดินตามแผนผังแสดงที่โล่ง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ให้เป็นไปดังต่อไปนี้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4.1 ที่โล่งประเภท ลร. ให้เป็นที่โล่งเพื่อการสงวนรักษาสภาพการระบายน้ำตาม</w:t>
      </w:r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 xml:space="preserve">ธรรมชาติ </w:t>
      </w:r>
      <w:r w:rsidR="00560A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</w:t>
      </w:r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>มีวัตถุประสงค์เพื่อสงวนรักษาสภาพการระบายน้ำตามธรรมชาติจำแนกเป็นบริเวณ ลร. - 1 ถึง ลร. - 7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4.2 ที่โล่งประเภท ลส. ให้เป็นที่โล่งเพื่อการรักษาคุณภาพสิ่งแวดล้อม มีวัตถุประสงค์เพื่อการอนุรักษ์และฟื้นฟูสภาพแวดล้อมฃายฝั่งทะเล จำแนกเป็นบริเวณ ลส.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สาย ก 1 ถนนสาย ก 2 ถนนสาย ก 3 </w:t>
      </w:r>
      <w:r w:rsidR="00560AF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ถนนสาย ก 4 ถนนสาย ก 5 ถนนสาย ข 1 ถนนสาย ข 2 ถนนสาย ค 1 ถนนสาย ค 2 ถนนสาย ค 3 ถนนสาย ค 4 ถนนสาย ค 5 ถนนสาย ค 6 ถนนสาย ง 1 ถนนสาย ง 2 ถนนสาย ง 3 ถนนสาย ง 4 ถนนสาย ง 5 และถนนสาย จ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5.1 การสร้างถนนหรือเกี่ยวข้องกับถนน และการสาธารณูปโภคและสาธารณูปการ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5.2 การสร้างรั้วหรือกำแพง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5.3 เกษตรกรรมที่มีความสูงของอาคารไม่เกิน 9 เมตรหรือไม่ใช่อาคารขนาดใหญ่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กำหนดการใช้ประโยชน์ที่ดินตามแผนผังแสดงโครงการกิจการสาธารณูปโภค </w:t>
      </w:r>
      <w:r w:rsidRPr="00E210B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6.1 ที่ดินประเภท สฆ. ที่กำหนดไว้เป็นสีเทาลายจุด ให้เป็นที่ดินเพื่อกิจการสาธารณูปโภค ประเภทโรงฆ่าสัตว์ จำแนกเป็นบริเวณ สฆ.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6.2 ที่ดินประเภท สบ. ที่กำหนดไว้เป็นสีม่วงลายจุด ให้เป็นที่ดินเพื่อกิจการสาธารณูปโภค ประเภทโรงบำบัดน้ำเสีย จำแนกเป็นบริเวณ สบ. - 1 และ สบ. - 2 </w:t>
      </w:r>
    </w:p>
    <w:p w:rsidR="00B879F8" w:rsidRDefault="00B879F8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44A3F" w:rsidRPr="007433EA" w:rsidRDefault="00BA1054" w:rsidP="00A44A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44A3F"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 ชุมชนดำเนินสะดวก - ศรีดอนไผ่ - ประสาทสิทธิ์ จังหวัดราชบุรี พ.ศ. ....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คณะรัฐมนตรีมีมติเห็นชอบร่างประกาศกระทรวงมหาดไทยเรื่อง การให้ใช้บังคับผังเมืองรวม ชุมชนดำเนินสะดวก - ศรีดอนไผ่ - ประสาทสิทธิ์ จังหวัดราชบุรี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ทั้งนี้ ร่างประกาศกระทรวงมหาดไทย ที่กระทรวงมหาดไทยเสนอเป็นการกำหนดให้ใช้บังคับผังเมืองรวม ในท้องที่ตำบลดอนไผ่ ตำบลประสาทสิทธิ์ ตำบลศรีสุราษฎร์ ตำบลดำเนินสะดวก ตำบลขุนพิทักษ์ และตำบล</w:t>
      </w:r>
      <w:r w:rsidR="00457C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ตาหลวง อำเภอดำเนินสะดวก จังหวัดราชบุรี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ซึ่งมีนโยบายและมาตรการในการส่งเสริมและพัฒนาชุมชนดำเนินสะดวก - ศรีดอนไผ่ - ประสาทสิทธิ์ ให้เป็นศูนย์กลางการบริหาร การปกครอง การศึกษา การค้า การบริการทางสังคม และการคมนาคมขนส่งระดับอำเภอ ส่งเสริมและอนุรักษ์พื้นที่เกษตรกรรมที่มีความอุดมสมบูรณ์ให้เป็นแหล่งผลผลิตทางการเกษตรที่มีคุณภาพและยั่งยืน ส่งเสริมด้านการท่องเที่ยวตลาดน้ำในรูปแบบวิถีชุมชนเกษตรและวิถีชีวิตชุมชนริมน้ำของชุมชนดำเนินสะดวกที่มีเอกลักษณ์เฉพาะถิ่น ส่งเสริมและพัฒนาด้านที่อยู่อาศัยและพาณิชยกรรมให้สอดคล้องกับการขยายตัวของชุมชนในอนาคตรวมทั้งอนุรักษ์วิถีชีวิตแบบดั้งเดิมของชุมชน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ซึ่งแต่ละประเภทจะกำหนดแผนผังและการใช้ประโยชน์ที่ดินแต่ละประเภทนั้น ๆ ตลอดจนกำหนดการใช้ประโยชน์ที่ดินตามแผนผังโครงการคมนาคมและขนส่ง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 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กำหนดให้ใช้บังคับ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ผังเมืองรวมชุมชนดำเนินสะดวก - ศรีดอนไผ่ - ประสาทสิทธิ์ จังหวัดราชบุรี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ให้สอดคล้องกับการพัฒนาระบบเศรษฐกิจและสังคมแห่งชาติ ซึ่งมีรายละเอียด ดังนี้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ผังเมืองรวมชุมชนดำเนินสะดวก - ศรีดอนไผ่ - ประสาทสิทธิ์ จังหวัดราชบุรี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โดยมีสาระสำคัญดังต่อไปนี้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1.1 ส่งเสริมและพัฒนาชุมชนดำเนินสะดวก - ศรีดอนไผ่ - ประสาทสิทธิ์ ให้เป็นศูนย์กลางการบริหาร การปกครอง การศึกษา การค้า การบริการทางสังคม และการคมนาคมขนส่งระดับอำเภอ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1.2 ส่งเสริมและอนุรักษ์พื้นที่เกษตรกรรมที่มีความอุดมสมบูรณ์ให้เป็นแหล่งผลผลิตทางการเกษตรที่มีคุณภาพและยั่งยื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1.3 ส่งเสริมด้านการท่องเที่ยวตลาดน้ำในรูปแบบวิถีชีวิตชุมชนเกษตรและวิถีชุมชนริมน้ำของชุมชนดำเนินสะดวกที่มีเอกลักษณ์เฉพาะถิ่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1.4 ส่งเสริมและพัฒนาด้านที่อยู่อาศัยและพาณิชยกรรมให้สอดคล้องกับการขยายตัวของชุมชนในอนาคต รวมทั้งอนุรักษ์วิถีชีวิตแบบดั้งเดิมของชุมชน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1.5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1.6 อนุรักษ์ทรัพยากรธรรมชาติและสิ่งแวดล้อม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กำหนดประเภทการใช้ประโยชน์ที่ดินออกเป็น 9 ประเภท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4A3F" w:rsidRPr="007433EA" w:rsidTr="00457CAB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A44A3F" w:rsidRPr="007433EA" w:rsidTr="00457CAB">
        <w:tc>
          <w:tcPr>
            <w:tcW w:w="4508" w:type="dxa"/>
            <w:tcBorders>
              <w:top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ที่ดินประเภทอนุรักษ์เพื่อการอยู่อาศัย (สีเหลืองเส้นทแยงสีขาว)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เป็นพื้นที่อนุรักษ์สำหรับการอยู่อาศัยให้คงอยู่และสอดคล้องกับวิถีชีวิตของชุมชนดั้งเดิม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มีวัตถุประสงค์เพื่อต้องการมิให้มีการเปลี่ยนแปลงการใช้ประโยชน์ที่ดินไปเป็นอย่างอื่น ซึ่งกำหนดพื้นที่อยู่ในบริเวณสถานที่สำคัญทางประวัติศาสตร์และต้องการอนุรักษ์พื้นที่ให้ใช้ประโยชน์ที่ดินเพื่อการอยู่อาศัยเท่านั้น โดยกำหนดให้มีการใช้ประโยชน์ที่ดินที่สอดคล้องและสัมพันธ์กับวิถีชีวิตของชุมชนซึ่งมีบทบาทด้านเกษตรและวิถีชีวิตชุมชนริมน้ำของชุมชนคลองดำเนินสะดวก ดังนั้น ในบริเวณพื้นที่จึงห้ามโรงงานทุกจำพวกตามกฎหมายว่าด้วยโรงงาน แต่จะยกเว้นให้ชุมชนริมน้ำคลองดำเนินสะดวกสามารถก่อสร้างอาคารริมน้ำแทนที่อาคารที่มีอยู่เดิมได้ โดยต้องมีความสูงและขนาดของอาคารเท่าเดิม และมีการจำกัดความสูงของอาคารซึ่งต้องสูงไม่เกิน 7.50 เมตร</w:t>
            </w:r>
          </w:p>
        </w:tc>
      </w:tr>
      <w:tr w:rsidR="00A44A3F" w:rsidRPr="007433EA" w:rsidTr="00457CAB">
        <w:trPr>
          <w:trHeight w:val="198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ที่ดินประเภทที่อยู่อาศัยหนาแน่นน้อย </w:t>
            </w:r>
            <w:r w:rsidR="0088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(สีเหลือง)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เป็นพื้นที่รอบนอกชุมชนเมืองต่อจากพื้นที่อยู่อาศัยหนาแน่นปานกลาง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มีวัตถุประสงค์เพื่อให้เป็นที่อยู่อาศัยเบาบางมีการก่อสร้างที่อยู่อาศัยได้ เช่น บ้านเดี่ยว บ้านแฝด ห้องแถว ตึกแถว บ้านแถว โดยมีข้อจำกัดเรื่องความสูงของอาคารซึ่งต้องมีความสูงไม่เกิน 9 เมตร</w:t>
            </w:r>
          </w:p>
        </w:tc>
      </w:tr>
      <w:tr w:rsidR="00A44A3F" w:rsidRPr="007433EA" w:rsidTr="00457CAB">
        <w:trPr>
          <w:trHeight w:val="198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ที่ดินประเภทที่อยู่อาศัยหนาแน่นปานกลาง </w:t>
            </w:r>
            <w:r w:rsidR="0088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(สีส้ม)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เป็นพื้นที่บริเวณต่อเนื่องหรือล้อมรอบพื้นที่อยู่อาศัยหนาแน่นมาก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มีวัตถุประสงค์เพื่อให้เป็นที่อยู่อาศัยหนาแน่นปานกลางที่มีการสร้างที่อยู่อาศัยได้ เช่น บ้านเดี่ยว บ้านแฝด ห้องแถว ตึกแถว บ้านแถว โดยมีข้อจำกัดเรื่องความสูงของอาคารซึ่งต้องมีความสูงไม่เกิน 12 เมตร</w:t>
            </w:r>
          </w:p>
        </w:tc>
      </w:tr>
      <w:tr w:rsidR="00A44A3F" w:rsidRPr="007433EA" w:rsidTr="00457CAB">
        <w:trPr>
          <w:trHeight w:val="2694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เป็นศูนย์กลางชุมชนเมืองและศูนย์กลางรองในกรณีเมืองมีพื้นที่กว้างจำเป็นต้องมีหลายศูนย์กลาง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มีวัตถุประสงค์ให้เป็นบริเวณที่ประกอบพาณิชย์ ธุรกิจ และการค้า ประกอบด้วย ตลาด ศูนย์การค้า สำนักงาน และกำหนดให้เป็นที่อยู่อาศัยหนาแน่นมาก เพื่อรองรับการประกอบกิจการดังกล่าว โดยมีข้อจำกัดเรื่องความสูงของอาคารซึ่งต้องมีความสูงไม่เกิน 12 เมตร</w:t>
            </w:r>
          </w:p>
        </w:tc>
      </w:tr>
      <w:tr w:rsidR="00A44A3F" w:rsidRPr="007433EA" w:rsidTr="00457CAB">
        <w:trPr>
          <w:trHeight w:val="1692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เป็นพื้นที่ฉนวน </w:t>
            </w:r>
            <w:r w:rsidRPr="007433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33EA">
              <w:rPr>
                <w:rFonts w:ascii="TH SarabunPSK" w:hAnsi="TH SarabunPSK" w:cs="TH SarabunPSK"/>
                <w:sz w:val="32"/>
                <w:szCs w:val="32"/>
              </w:rPr>
              <w:t>Buffer Zone</w:t>
            </w:r>
            <w:r w:rsidRPr="007433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ของชุมชนเมืองให้คงสภาพชนบทและประกอบอาชีพเกษตรกรรม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มีวัตถุประสงค์ให้เป็นพื้นที่ชนบทและเกษตรกรรม ประกอบด้วย การประกอบเกษตรกรรม เช่น ทำไร่ ทำนา ทำสวน เลี้ยงสัตว์</w:t>
            </w:r>
          </w:p>
        </w:tc>
      </w:tr>
      <w:tr w:rsidR="00A44A3F" w:rsidRPr="007433EA" w:rsidTr="00457CAB">
        <w:trPr>
          <w:trHeight w:val="993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ที่ประเภทอนุรักษ์ชนบทและเกษตรกรรม</w:t>
            </w:r>
            <w:r w:rsidR="00BA10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(สีขาวมีกรอบและเส้นทแยงสีเขียว)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เป็นพื้นที่ที่มีคุณภาพของดินเหมาะสมเพื่อการเกษตรกรรม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มีวัตถุประสงค์เพื่อรักษาสภาพแวดล้อมและอนุรักษ์อาชีพเกษตรกรรมให้มั่นคง ซึ่งกำหนดห้ามกิจกรรมการใช้ประโยชน์ที่ดินที่มีความหนาแน่น เช่น ห้ามจัดสรรที่ดินเพื่อประกอบอุตสาหกรรม จัดสรรที่ดินเพื่อประกอบพาณิชยกรรม และจัดสรรที่ดินเพื่อการอยู่อาศัย</w:t>
            </w:r>
          </w:p>
        </w:tc>
      </w:tr>
      <w:tr w:rsidR="00A44A3F" w:rsidRPr="007433EA" w:rsidTr="00457CAB">
        <w:trPr>
          <w:trHeight w:val="1690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มีวัตถุประสงค์เพื่อกำหนดพื้นที่ซึ่งเป็นสถาบันการศึกษาตามการใช้ประโยชน์ที่ดินในปัจจุบัน เช่น โรงเรียนวัดเวฬุวนาราม โรงเรียนชุมชนวัดราษฎร์เจริญธรรม โรงเรียนบ้านดอนไผ่ (ราษฎร์รังสรรค์)</w:t>
            </w:r>
          </w:p>
        </w:tc>
      </w:tr>
      <w:tr w:rsidR="00A44A3F" w:rsidRPr="007433EA" w:rsidTr="00457CAB">
        <w:trPr>
          <w:trHeight w:val="113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มีวัตถุประสงค์เพื่อเป็นพื้นที่สถาบันศาสนาตามการใช้ประโยชน์ที่ดินในปัจจุบัน เช่น วัดเวฬุวนาราม (แช่ไห) สุสานวัดอุบลวรรณาราม โรงเจจิ๋นเซ่งตั๊ว</w:t>
            </w:r>
          </w:p>
        </w:tc>
      </w:tr>
      <w:tr w:rsidR="00A44A3F" w:rsidRPr="007433EA" w:rsidTr="00457CAB"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 (สีน้ำเงิน)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ของรัฐบาลเพื่อการสาธารณูปโภค และสาธารณูปการ เช่น โรงพยาบาลส่งเสริมสุขภาพ ตำบลประสาทสิทธิ์ สถานีตำรวจภูธรหลักห้า สำนักงานเทศบาลตำบลศรีดอนไผ่ ไปรษณีย์ดำเนินสะดวก ประปาส่วนภูมิภาคสาขาราชบุรี การไฟฟ้าส่วนภูมิภาค อำเภอดำเนินสะดวก</w:t>
            </w:r>
          </w:p>
        </w:tc>
      </w:tr>
    </w:tbl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7433EA">
        <w:rPr>
          <w:rFonts w:ascii="TH SarabunPSK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ที่ดินประเภทชนบทและเกษตรกรรม (สีเขียว) และที่ดินประเภทอนุรักษ์ชนบทและเกษตรกรรม (สีขาวมีกรอบและเส้นทแยงสีเขียว) ตามบัญชีท้ายประกาศกระทรวงมหาดไทย ทั้งนี้ เพื่อให้เป็นไปตามวัตถุประสงค์การใช้ที่ดินแต่ละประเภท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กำหนดการใช้ประโยชน์ที่ดินตามแผนผังแสดงโครงการคมนาคมและขนส่ง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โดยในบริเวณ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33EA">
        <w:rPr>
          <w:rFonts w:ascii="TH SarabunPSK" w:hAnsi="TH SarabunPSK" w:cs="TH SarabunPSK" w:hint="cs"/>
          <w:sz w:val="32"/>
          <w:szCs w:val="32"/>
          <w:cs/>
        </w:rPr>
        <w:t>แนวถนนสาย ก ถนนสาย ข 1 ถนนสาย ข 2 ถนนสาย ข 3 และถนนสาย ค ตามแผนผังแสดงโครงการคมนาคมและขนส่งท้ายประกาศนี้ ให้ใช้ประโยชน์ที่ดินเพื่อกิจการตามที่กำหนด ดังต่อไปนี้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4.1 การสร้างถนนหรือเกี่ยวข้องกับถนน และสาธารณูปโภคและสาธารณูปการ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4.3 เกษตรกรรมที่มีความสูงของอาคารไม่เกิน 7.5 เมตร หรือไม่ใช่อาคารขนาดใหญ่ </w:t>
      </w:r>
    </w:p>
    <w:p w:rsidR="00A44A3F" w:rsidRPr="00E210BD" w:rsidRDefault="00A44A3F" w:rsidP="00E210BD">
      <w:p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EA6D99">
        <w:tc>
          <w:tcPr>
            <w:tcW w:w="9820" w:type="dxa"/>
          </w:tcPr>
          <w:p w:rsidR="00B879F8" w:rsidRPr="00E210BD" w:rsidRDefault="00B879F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E3A28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707EE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รายงานผลการกู้เงินล่วงหน้าเพื่อปรับโครงสร้างหนี้พันธบัตรรัฐบาลรุ่น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LB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>236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CE3A28" w:rsidRPr="00E210BD" w:rsidRDefault="00CE3A2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คณะรัฐมนตรีรับทราบตามที่กระทรวงการคลัง (กค.) เสนอ รายงานผลการกู้เงินล่วงหน้าเพื่อปรับโครงสร้างหนี้พันธบัตรรัฐบาลรุ่น 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236</w:t>
      </w:r>
      <w:r w:rsidRPr="00E210BD">
        <w:rPr>
          <w:rFonts w:ascii="TH SarabunPSK" w:hAnsi="TH SarabunPSK" w:cs="TH SarabunPSK"/>
          <w:sz w:val="32"/>
          <w:szCs w:val="32"/>
        </w:rPr>
        <w:t xml:space="preserve">A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E210BD">
        <w:rPr>
          <w:rFonts w:ascii="TH SarabunPSK" w:hAnsi="TH SarabunPSK" w:cs="TH SarabunPSK"/>
          <w:sz w:val="32"/>
          <w:szCs w:val="32"/>
        </w:rPr>
        <w:t xml:space="preserve">17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E210BD">
        <w:rPr>
          <w:rFonts w:ascii="TH SarabunPSK" w:hAnsi="TH SarabunPSK" w:cs="TH SarabunPSK"/>
          <w:sz w:val="32"/>
          <w:szCs w:val="32"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ที่จะครบกำหนดในวันที่ </w:t>
      </w:r>
      <w:r w:rsidRPr="00E210BD">
        <w:rPr>
          <w:rFonts w:ascii="TH SarabunPSK" w:hAnsi="TH SarabunPSK" w:cs="TH SarabunPSK"/>
          <w:sz w:val="32"/>
          <w:szCs w:val="32"/>
        </w:rPr>
        <w:t>16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210BD">
        <w:rPr>
          <w:rFonts w:ascii="TH SarabunPSK" w:hAnsi="TH SarabunPSK" w:cs="TH SarabunPSK"/>
          <w:sz w:val="32"/>
          <w:szCs w:val="32"/>
        </w:rPr>
        <w:t xml:space="preserve">2566 </w:t>
      </w:r>
      <w:r w:rsidRPr="00E210BD">
        <w:rPr>
          <w:rFonts w:ascii="TH SarabunPSK" w:hAnsi="TH SarabunPSK" w:cs="TH SarabunPSK"/>
          <w:sz w:val="32"/>
          <w:szCs w:val="32"/>
          <w:cs/>
        </w:rPr>
        <w:t>(เป็นการดำเนินการตามพระราชกำหนดให้อำนาจ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มาตรา 6 ที่บัญญัติให้ในการกู้เงินแต่ละคราวต้องรายงานคณะรัฐมนตรีเพื่อทราบและประกาศในราชกิจจานุเบกษาภายในหกสิบวันนับตั้งแต่วันทำสัญญากู้หรือวันออกพันธบัตรหรือตราสารอื่น) สรุปสาระสำคัญได้ ดังนี้</w:t>
      </w:r>
    </w:p>
    <w:p w:rsidR="00BB436B" w:rsidRPr="00E210BD" w:rsidRDefault="00CE3A2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พันธบัตรรัฐบาลรุ่น 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236</w:t>
      </w:r>
      <w:r w:rsidRPr="00E210BD">
        <w:rPr>
          <w:rFonts w:ascii="TH SarabunPSK" w:hAnsi="TH SarabunPSK" w:cs="TH SarabunPSK"/>
          <w:sz w:val="32"/>
          <w:szCs w:val="32"/>
        </w:rPr>
        <w:t xml:space="preserve">A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ที่ออกภายใต้พระราชกำหนดช่วยเหลือกองทุนเพื่อการฟื้นฟูฯ ระยะที่สอง ที่จะครบกำหนดในวันที่ 16 มิถุนายน 2566 มีวงเงินที่ครบกำหนดสูงจำนวน </w:t>
      </w:r>
      <w:r w:rsidRPr="00E210BD">
        <w:rPr>
          <w:rFonts w:ascii="TH SarabunPSK" w:hAnsi="TH SarabunPSK" w:cs="TH SarabunPSK"/>
          <w:sz w:val="32"/>
          <w:szCs w:val="32"/>
        </w:rPr>
        <w:t>98,163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กค.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ได้ดำเนินการกู้เงินล่วงหน้าเพื่อปรับโครงสร้างหนี้พันธบัตรรัฐบาล</w:t>
      </w:r>
      <w:r w:rsidRPr="00E210BD">
        <w:rPr>
          <w:rFonts w:ascii="TH SarabunPSK" w:hAnsi="TH SarabunPSK" w:cs="TH SarabunPSK"/>
          <w:sz w:val="32"/>
          <w:szCs w:val="32"/>
          <w:cs/>
        </w:rPr>
        <w:t>ดังกล่าวเพื่อลดความเสี่ยงในการปรับโครงสร้างหนี้ ผ่านการออกพันธบัตรรัฐบาลเพื่อการปรับโครงสร้างหนี้ (พ.ร.ก. ช่วยเหลือกองทุนเพื่อการฟื้นฟูฯ ระยะที่สอง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210BD">
        <w:rPr>
          <w:rFonts w:ascii="TH SarabunPSK" w:hAnsi="TH SarabunPSK" w:cs="TH SarabunPSK"/>
          <w:sz w:val="32"/>
          <w:szCs w:val="32"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266</w:t>
      </w:r>
      <w:r w:rsidRPr="00E210BD">
        <w:rPr>
          <w:rFonts w:ascii="TH SarabunPSK" w:hAnsi="TH SarabunPSK" w:cs="TH SarabunPSK"/>
          <w:sz w:val="32"/>
          <w:szCs w:val="32"/>
        </w:rPr>
        <w:t>A</w:t>
      </w:r>
      <w:r w:rsidRPr="00E210BD">
        <w:rPr>
          <w:rFonts w:ascii="TH SarabunPSK" w:hAnsi="TH SarabunPSK" w:cs="TH SarabunPSK"/>
          <w:sz w:val="32"/>
          <w:szCs w:val="32"/>
          <w:cs/>
        </w:rPr>
        <w:t>) โดยมีรายละเอียด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723"/>
      </w:tblGrid>
      <w:tr w:rsidR="00CE3A28" w:rsidRPr="00E210BD" w:rsidTr="00CE3A28"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วันที่ประมูล</w:t>
            </w:r>
          </w:p>
        </w:tc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399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723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อัตราผลตอบแทนเฉลี่ย</w:t>
            </w:r>
          </w:p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(ร้อยละต่อปี)</w:t>
            </w:r>
          </w:p>
        </w:tc>
      </w:tr>
      <w:tr w:rsidR="00CE3A28" w:rsidRPr="00E210BD" w:rsidTr="00CE3A28"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399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723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9204</w:t>
            </w:r>
          </w:p>
        </w:tc>
      </w:tr>
    </w:tbl>
    <w:p w:rsidR="00CE3A28" w:rsidRPr="00E210BD" w:rsidRDefault="00CE3A28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. กค. ได้ออกประกาศ กค. เรื่อง ผลการจำหน่ายพันธบัตรรัฐบาลเพื่อการปรับโครงสร้างหนี้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10BD">
        <w:rPr>
          <w:rFonts w:ascii="TH SarabunPSK" w:hAnsi="TH SarabunPSK" w:cs="TH SarabunPSK"/>
          <w:sz w:val="32"/>
          <w:szCs w:val="32"/>
          <w:cs/>
        </w:rPr>
        <w:t>(พ.ร.ก. ช่วยเหลือกองทุนเพื่อการฟื้นฟูฯ ระยะที่สอง) ในปีงบประมาณ พ.ศ. 2566 ครั้งที่ 2 เพื่อลงประกาศใน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ราชกิจจานุเบกษา (ภายในวันที่ 15 พฤษภาคม 2566) ต่อไปด้วยแล้ว</w:t>
      </w:r>
    </w:p>
    <w:p w:rsidR="004571AB" w:rsidRPr="00E210BD" w:rsidRDefault="004571AB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3E6F" w:rsidRPr="00E210BD" w:rsidRDefault="00BA1054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รายงานผลการดำเนินการตามพระราชบัญญัติคุ้มครองแรงงานในงานประมง พ.ศ.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230130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2564 - 31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คณะรัฐมนตรีรับทราบตามที่กระทรวงแรงงาน (รง.) ร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ายงานผลการดำเนินการตามพระราชบัญญัติคุ้มครองแรงงาน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>ในงานประมง พ.ศ. 2562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(ระหว่างวันที่ </w:t>
      </w:r>
      <w:r w:rsidRPr="00E210BD">
        <w:rPr>
          <w:rFonts w:ascii="TH SarabunPSK" w:hAnsi="TH SarabunPSK" w:cs="TH SarabunPSK"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E210BD">
        <w:rPr>
          <w:rFonts w:ascii="TH SarabunPSK" w:hAnsi="TH SarabunPSK" w:cs="TH SarabunPSK"/>
          <w:sz w:val="32"/>
          <w:szCs w:val="32"/>
          <w:cs/>
        </w:rPr>
        <w:t>2564-31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(เป็นการดำเนินการตามพระราชบัญญัติคุ้มครองแรงงานในงานประมง พ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E210BD">
        <w:rPr>
          <w:rFonts w:ascii="TH SarabunPSK" w:hAnsi="TH SarabunPSK" w:cs="TH SarabunPSK"/>
          <w:sz w:val="32"/>
          <w:szCs w:val="32"/>
          <w:cs/>
        </w:rPr>
        <w:t>2562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210BD">
        <w:rPr>
          <w:rFonts w:ascii="TH SarabunPSK" w:hAnsi="TH SarabunPSK" w:cs="TH SarabunPSK"/>
          <w:sz w:val="32"/>
          <w:szCs w:val="32"/>
          <w:cs/>
        </w:rPr>
        <w:t>6  วรรคสี่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ที่บัญญัติให้ รง. จัดทำรายงานผลการดำเนินงานประจำปีเกี่ยวกับสถานการณ์ จำนวนคดีการดำเนินการของหน่วยงานที่เกี่ยวข้อง และแนวทางการดำเนินงานในอนาคตเกี่ยวกับการคุ้มครองแรงงานในงานประมงให้สอดคล้องกับมาตรฐานสากล เสนอต่อคณะรัฐมนตรี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ทั้งนี้ ตามระยะเวลาที่รัฐมนตรีว่าการกระทรวงแรงงานกำหนด) สาระสำคัญสรุปได้ 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ได้ดำเนินการรวบรวมผลการดำเนินการตามพระราชบัญญัติคุ้มครองแรงงานฯ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(ระหว่างวันที่ </w:t>
      </w:r>
      <w:r w:rsidRPr="00E210BD">
        <w:rPr>
          <w:rFonts w:ascii="TH SarabunPSK" w:hAnsi="TH SarabunPSK" w:cs="TH SarabunPSK"/>
          <w:sz w:val="32"/>
          <w:szCs w:val="32"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มกราคม-</w:t>
      </w:r>
      <w:r w:rsidRPr="00E210BD">
        <w:rPr>
          <w:rFonts w:ascii="TH SarabunPSK" w:hAnsi="TH SarabunPSK" w:cs="TH SarabunPSK"/>
          <w:sz w:val="32"/>
          <w:szCs w:val="32"/>
        </w:rPr>
        <w:t>31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จากหน่วยงานในสังกัด รง. และหน่วยงานอื่นประกอบด้วย กรมสวัสดิการและคุ้มครองแรงงาน กรมการจัดหางาน สำนักงานประกันสังคมและกรมประมง ซึ่งเป็นหน่วยงานรับผิดชอบกฎหมายว่าด้วยการคุ้มครองแรงงาน กฎหมายว่าด้วยการจัดหางานและคุ้มครองคนหางาน กฎหมายว่าด้วยการเดินเรือใน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น่านน้ำไทย กฎหมายว่าด้วยก</w:t>
      </w:r>
      <w:r w:rsidRPr="00E210BD">
        <w:rPr>
          <w:rFonts w:ascii="TH SarabunPSK" w:hAnsi="TH SarabunPSK" w:cs="TH SarabunPSK"/>
          <w:sz w:val="32"/>
          <w:szCs w:val="32"/>
          <w:cs/>
        </w:rPr>
        <w:t>ารบริหารจัดการการทำงานของคนต่าง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ด้าว กฎหมายว่าด้วยการประมง กฎหมายว่าด้วยเงินทดแทน และกฎหมายว่าด้วยแรงานสัมพันธ์ โดยมีผลการดำเนินงานตามพระราชบัญญัติคุ้มครองแรงงานในงานประมง ภายใต้กรอบนโยบาย 5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 P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ได้สร้างกลไกการขับเคลื่อนการดำเนินงานป้องกันปัญหาการค้ามนุษย์ด้านแรงงาน โดย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แต่งตั้งคณะอนุกรรมการและคณะทำงาน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ได้แก่ (</w:t>
      </w:r>
      <w:r w:rsidRPr="00E210BD">
        <w:rPr>
          <w:rFonts w:ascii="TH SarabunPSK" w:hAnsi="TH SarabunPSK" w:cs="TH SarabunPSK"/>
          <w:sz w:val="32"/>
          <w:szCs w:val="32"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คณะอนุกรรมการป้องกันการบังคับใช้แรงงานและการค้ามนุษย์ด้านแรงงาน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(2)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คณะทำงานกำกับและติดตามการป้องกันปัญหาการบังคับใช้แรงงานและการค้ามนุษย์ด้านแรงงาน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และ (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คณะทำงานกำกับและติดตามการป้องกันและแก้ไขปัญหาแรงงานในภาคประมง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ทั้งนี้ ในปี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ปลัดกระทรวงแรงงานได้แต่งตั้งคณะทำงานกำกับและติดตามการป้องกันปัญหาการบังคับใช้แรงงานและการค้ามนุษย์ด้านแรงงาน และคณะทำงานกำกับและติดตามการป้องกันและแก้ไขปัญหาแรงงานในภาคประมง เพื่อให้สอดคล้องกับนโยบายสำคัญของ รง.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ปีงบประมาณ พ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มาตรการป้องกันและแก้ไขปัญหาการค้ามนุษย์ด้านแรงาน เพื่อมุ่งสู่ </w:t>
      </w:r>
      <w:r w:rsidRPr="00E210BD">
        <w:rPr>
          <w:rFonts w:ascii="TH SarabunPSK" w:hAnsi="TH SarabunPSK" w:cs="TH SarabunPSK"/>
          <w:sz w:val="32"/>
          <w:szCs w:val="32"/>
        </w:rPr>
        <w:t>Tier1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และมาตรการถอดรายการสินค้าออกจากรายการที่ถูกขึ้นบัญชี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การใช้แรงงานเด็กหรือแรงงานบังคับ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8838AF" w:rsidRPr="00E210BD">
        <w:rPr>
          <w:rFonts w:ascii="TH SarabunPSK" w:hAnsi="TH SarabunPSK" w:cs="TH SarabunPSK"/>
          <w:sz w:val="32"/>
          <w:szCs w:val="32"/>
        </w:rPr>
        <w:t>List of Produced by Child Labor or Force Labor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838AF" w:rsidRPr="00E210BD">
        <w:rPr>
          <w:rFonts w:ascii="TH SarabunPSK" w:hAnsi="TH SarabunPSK" w:cs="TH SarabunPSK"/>
          <w:sz w:val="32"/>
          <w:szCs w:val="32"/>
        </w:rPr>
        <w:t>TVPRA List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</w:t>
      </w:r>
    </w:p>
    <w:p w:rsidR="004571AB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ด้านการป้องกัน (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Prevention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จากสถานการณ์การแพร่ระบาดของโรคติดเชื้อไวรัสโคโรนา </w:t>
      </w:r>
      <w:r w:rsidRPr="00E210BD">
        <w:rPr>
          <w:rFonts w:ascii="TH SarabunPSK" w:hAnsi="TH SarabunPSK" w:cs="TH SarabunPSK"/>
          <w:sz w:val="32"/>
          <w:szCs w:val="32"/>
        </w:rPr>
        <w:t>2019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E210BD">
        <w:rPr>
          <w:rFonts w:ascii="TH SarabunPSK" w:hAnsi="TH SarabunPSK" w:cs="TH SarabunPSK"/>
          <w:sz w:val="32"/>
          <w:szCs w:val="32"/>
        </w:rPr>
        <w:t>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) รง. ได้มีมาตรการห้ามเคลื่อนย้ายแรงานต่างด้าวและได้มีการห้ามนำเข้าแรงงานต่างด้าวตามระบบ </w:t>
      </w:r>
      <w:r w:rsidRPr="00E210BD">
        <w:rPr>
          <w:rFonts w:ascii="TH SarabunPSK" w:hAnsi="TH SarabunPSK" w:cs="TH SarabunPSK"/>
          <w:sz w:val="32"/>
          <w:szCs w:val="32"/>
        </w:rPr>
        <w:t xml:space="preserve">MOU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ตั้งแต่เดือนมีนาคม </w:t>
      </w:r>
      <w:r w:rsidRPr="00E210BD">
        <w:rPr>
          <w:rFonts w:ascii="TH SarabunPSK" w:hAnsi="TH SarabunPSK" w:cs="TH SarabunPSK"/>
          <w:sz w:val="32"/>
          <w:szCs w:val="32"/>
        </w:rPr>
        <w:t xml:space="preserve">2563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ซึ่งในปี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รง.โดย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กรมการจัดหางานได้ดำเนินการบริหารจัดการแรงงานต่างด้าวในกิจการประมงและแปรรูปสัตว์น้ำ รวมทั้งสิ้น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129,248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แบ่งเป็น แรงานสัญชาติเมียนมา </w:t>
      </w:r>
      <w:r w:rsidRPr="00E210BD">
        <w:rPr>
          <w:rFonts w:ascii="TH SarabunPSK" w:hAnsi="TH SarabunPSK" w:cs="TH SarabunPSK"/>
          <w:sz w:val="32"/>
          <w:szCs w:val="32"/>
        </w:rPr>
        <w:t>111,900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งานสัญชาติลาว </w:t>
      </w:r>
      <w:r w:rsidRPr="00E210BD">
        <w:rPr>
          <w:rFonts w:ascii="TH SarabunPSK" w:hAnsi="TH SarabunPSK" w:cs="TH SarabunPSK"/>
          <w:sz w:val="32"/>
          <w:szCs w:val="32"/>
        </w:rPr>
        <w:t>2,424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แรงงานสัญชาติกัมพูชา </w:t>
      </w:r>
      <w:r w:rsidRPr="00E210BD">
        <w:rPr>
          <w:rFonts w:ascii="TH SarabunPSK" w:hAnsi="TH SarabunPSK" w:cs="TH SarabunPSK"/>
          <w:sz w:val="32"/>
          <w:szCs w:val="32"/>
        </w:rPr>
        <w:t>14,916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และแรงงานสัญชาติเวียดนาม                 8 ราย และจากข้อมูสสถิติแรงงานต่างด้าวในกิจการประมงและเแปรรูปสัตว์น้ำได้ให้คำปรึกษา แนะนำ ช่วยเหลือผ่านศูนย์ร่วมบริการช่วยเหลือแรงงานต่างด้าว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686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ส่งเสริมให้สถานประกอบการนำแนวปฏิบัติการใช้แรงงานที่ดีไปใช้เป็นแนวทางในการปรับปรุงสภาพการจ้างและสภาพการทำงานเพื่อพัฒนาไปสู่การปฏิบัติที่สอดคล้องกับกฎหมาย ส่งผลให้เกิดการยกระดับคุณภาพชีวิตของลูกจ้างและสถานประกอบกิจการ</w:t>
      </w:r>
    </w:p>
    <w:p w:rsidR="003C50FE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ด้านการบังคับใช้กฎหมาย (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Prosecution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รง. </w:t>
      </w:r>
      <w:r w:rsidRPr="00E210BD">
        <w:rPr>
          <w:rFonts w:ascii="TH SarabunPSK" w:hAnsi="TH SarabunPSK" w:cs="TH SarabunPSK"/>
          <w:sz w:val="32"/>
          <w:szCs w:val="32"/>
          <w:cs/>
        </w:rPr>
        <w:t>ได้ตรวจสอบสภาพการจ้างสภาพของการทำงาน และสภาพความเป็นอยู่ของแรงงาน ณ ศูนย์ควบคุม การแจ้งเรือเข้า-ออก ในพื้นที่</w:t>
      </w:r>
      <w:r w:rsidR="003C50FE" w:rsidRPr="00E210BD">
        <w:rPr>
          <w:rFonts w:ascii="TH SarabunPSK" w:hAnsi="TH SarabunPSK" w:cs="TH SarabunPSK"/>
          <w:sz w:val="32"/>
          <w:szCs w:val="32"/>
        </w:rPr>
        <w:t xml:space="preserve"> 22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จังหวัดชายทะเล และการตรวจเรือประมงกลางทะเล มีเรือประมงผ่านการตรวจ </w:t>
      </w:r>
      <w:r w:rsidR="003C50FE" w:rsidRPr="00E210BD">
        <w:rPr>
          <w:rFonts w:ascii="TH SarabunPSK" w:hAnsi="TH SarabunPSK" w:cs="TH SarabunPSK"/>
          <w:sz w:val="32"/>
          <w:szCs w:val="32"/>
        </w:rPr>
        <w:t>47,529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แรงงานผ่านการตรวจ </w:t>
      </w:r>
      <w:r w:rsidR="003C50FE" w:rsidRPr="00E210BD">
        <w:rPr>
          <w:rFonts w:ascii="TH SarabunPSK" w:hAnsi="TH SarabunPSK" w:cs="TH SarabunPSK"/>
          <w:sz w:val="32"/>
          <w:szCs w:val="32"/>
        </w:rPr>
        <w:t>590,782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และพบการกระทำความผิด </w:t>
      </w:r>
      <w:r w:rsidR="003C50FE" w:rsidRPr="00E210BD">
        <w:rPr>
          <w:rFonts w:ascii="TH SarabunPSK" w:hAnsi="TH SarabunPSK" w:cs="TH SarabunPSK"/>
          <w:sz w:val="32"/>
          <w:szCs w:val="32"/>
        </w:rPr>
        <w:t>30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 ในจำนวนนี้เจ้าหน้าที่ตรวจแรงงานดำเนินการออกคำสั่ง </w:t>
      </w:r>
      <w:r w:rsidR="003C50FE" w:rsidRPr="00E210BD">
        <w:rPr>
          <w:rFonts w:ascii="TH SarabunPSK" w:hAnsi="TH SarabunPSK" w:cs="TH SarabunPSK"/>
          <w:sz w:val="32"/>
          <w:szCs w:val="32"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ครั้ง ดำเนินคดี </w:t>
      </w:r>
      <w:r w:rsidR="003C50FE" w:rsidRPr="00E210BD">
        <w:rPr>
          <w:rFonts w:ascii="TH SarabunPSK" w:hAnsi="TH SarabunPSK" w:cs="TH SarabunPSK"/>
          <w:sz w:val="32"/>
          <w:szCs w:val="32"/>
        </w:rPr>
        <w:t>24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[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เป็นการกระทำความผิดฐานนายจ้างไม่จ่ายค่าจ้างผ่านบัญชีธนาคาร </w:t>
      </w:r>
      <w:r w:rsidR="003C50FE" w:rsidRPr="00E210BD">
        <w:rPr>
          <w:rFonts w:ascii="TH SarabunPSK" w:hAnsi="TH SarabunPSK" w:cs="TH SarabunPSK"/>
          <w:sz w:val="32"/>
          <w:szCs w:val="32"/>
        </w:rPr>
        <w:t>15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ฐานความผิดไม่จัดทำเวลาพัก </w:t>
      </w:r>
      <w:r w:rsidR="003C50FE" w:rsidRPr="00E210BD">
        <w:rPr>
          <w:rFonts w:ascii="TH SarabunPSK" w:hAnsi="TH SarabunPSK" w:cs="TH SarabunPSK"/>
          <w:sz w:val="32"/>
          <w:szCs w:val="32"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คดีและความผิดฐานไม่จัดทำสัญญาจ้าง </w:t>
      </w:r>
      <w:r w:rsidR="003C50FE" w:rsidRPr="00E210BD">
        <w:rPr>
          <w:rFonts w:ascii="TH SarabunPSK" w:hAnsi="TH SarabunPSK" w:cs="TH SarabunPSK"/>
          <w:sz w:val="32"/>
          <w:szCs w:val="32"/>
        </w:rPr>
        <w:t>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(ข้อมูลระหว่างวันที่ </w:t>
      </w:r>
      <w:r w:rsidR="003C50FE" w:rsidRPr="00E210BD">
        <w:rPr>
          <w:rFonts w:ascii="TH SarabunPSK" w:hAnsi="TH SarabunPSK" w:cs="TH SarabunPSK"/>
          <w:sz w:val="32"/>
          <w:szCs w:val="32"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มกราคม-</w:t>
      </w:r>
      <w:r w:rsidR="003C50FE" w:rsidRPr="00E210BD">
        <w:rPr>
          <w:rFonts w:ascii="TH SarabunPSK" w:hAnsi="TH SarabunPSK" w:cs="TH SarabunPSK"/>
          <w:sz w:val="32"/>
          <w:szCs w:val="32"/>
        </w:rPr>
        <w:t>31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3C50FE" w:rsidRPr="00E210BD">
        <w:rPr>
          <w:rFonts w:ascii="TH SarabunPSK" w:hAnsi="TH SarabunPSK" w:cs="TH SarabunPSK"/>
          <w:sz w:val="32"/>
          <w:szCs w:val="32"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E210BD">
        <w:rPr>
          <w:rFonts w:ascii="TH SarabunPSK" w:hAnsi="TH SarabunPSK" w:cs="TH SarabunPSK"/>
          <w:sz w:val="32"/>
          <w:szCs w:val="32"/>
          <w:cs/>
        </w:rPr>
        <w:t>รวมทั้งบูรณาการร่ว</w:t>
      </w:r>
      <w:r w:rsidR="0083444C">
        <w:rPr>
          <w:rFonts w:ascii="TH SarabunPSK" w:hAnsi="TH SarabunPSK" w:cs="TH SarabunPSK"/>
          <w:sz w:val="32"/>
          <w:szCs w:val="32"/>
          <w:cs/>
        </w:rPr>
        <w:t>มกับศูนย์อำนวยการรักษาผลประโยชน</w:t>
      </w:r>
      <w:r w:rsidR="0083444C">
        <w:rPr>
          <w:rFonts w:ascii="TH SarabunPSK" w:hAnsi="TH SarabunPSK" w:cs="TH SarabunPSK" w:hint="cs"/>
          <w:sz w:val="32"/>
          <w:szCs w:val="32"/>
          <w:cs/>
        </w:rPr>
        <w:t>์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ของชาติทางทะเลในการตรวจคุ้มครองแรงงานในเรือประมงกลางทะเลเพื่อตรวจสอบเรือประมง </w:t>
      </w:r>
      <w:r w:rsidR="00C96D97" w:rsidRPr="00E210BD">
        <w:rPr>
          <w:rFonts w:ascii="TH SarabunPSK" w:hAnsi="TH SarabunPSK" w:cs="TH SarabunPSK"/>
          <w:sz w:val="32"/>
          <w:szCs w:val="32"/>
        </w:rPr>
        <w:t>431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 มีแ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รงงานผ่านการตรวจ 5,423 </w:t>
      </w:r>
      <w:r w:rsidRPr="00E210BD">
        <w:rPr>
          <w:rFonts w:ascii="TH SarabunPSK" w:hAnsi="TH SarabunPSK" w:cs="TH SarabunPSK"/>
          <w:sz w:val="32"/>
          <w:szCs w:val="32"/>
          <w:cs/>
        </w:rPr>
        <w:t>ราย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และพบการปฏิบัติไม่ถูกต้อง </w:t>
      </w:r>
      <w:r w:rsidR="003C50FE" w:rsidRPr="00E210BD">
        <w:rPr>
          <w:rFonts w:ascii="TH SarabunPSK" w:hAnsi="TH SarabunPSK" w:cs="TH SarabunPSK"/>
          <w:sz w:val="32"/>
          <w:szCs w:val="32"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</w:t>
      </w:r>
    </w:p>
    <w:p w:rsidR="004571AB" w:rsidRPr="00E210BD" w:rsidRDefault="003C50F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ด้านการคุ้มครองช่วยเหลือ 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Protection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ดำเนินการจ่ายประโยชน์ทดแทนให้กับแรงงาน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ต่างด้าวในกิจการประมงทะเล โดยผ่านกองทุนประกันสังคม 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1,067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A4E" w:rsidRPr="00E210BD">
        <w:rPr>
          <w:rFonts w:ascii="TH SarabunPSK" w:hAnsi="TH SarabunPSK" w:cs="TH SarabunPSK"/>
          <w:sz w:val="32"/>
          <w:szCs w:val="32"/>
        </w:rPr>
        <w:t>18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945A4E" w:rsidRPr="00E210BD">
        <w:rPr>
          <w:rFonts w:ascii="TH SarabunPSK" w:hAnsi="TH SarabunPSK" w:cs="TH SarabunPSK"/>
          <w:sz w:val="32"/>
          <w:szCs w:val="32"/>
        </w:rPr>
        <w:t>63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และกองทุนเงินทดแทน </w:t>
      </w:r>
      <w:r w:rsidR="00945A4E" w:rsidRPr="00E210BD">
        <w:rPr>
          <w:rFonts w:ascii="TH SarabunPSK" w:hAnsi="TH SarabunPSK" w:cs="TH SarabunPSK"/>
          <w:sz w:val="32"/>
          <w:szCs w:val="32"/>
        </w:rPr>
        <w:t xml:space="preserve">249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ราย จำนวน </w:t>
      </w:r>
      <w:r w:rsidR="00945A4E" w:rsidRPr="00E210BD">
        <w:rPr>
          <w:rFonts w:ascii="TH SarabunPSK" w:hAnsi="TH SarabunPSK" w:cs="TH SarabunPSK"/>
          <w:sz w:val="32"/>
          <w:szCs w:val="32"/>
        </w:rPr>
        <w:t>49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945A4E" w:rsidRPr="00E210BD">
        <w:rPr>
          <w:rFonts w:ascii="TH SarabunPSK" w:hAnsi="TH SarabunPSK" w:cs="TH SarabunPSK"/>
          <w:sz w:val="32"/>
          <w:szCs w:val="32"/>
        </w:rPr>
        <w:t>23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ล้านบาทในกรณีประสบอันตรายหรือเจ็บป่วย เนื่องจากการทำงานในกิจการประมง</w:t>
      </w:r>
    </w:p>
    <w:p w:rsidR="004571AB" w:rsidRPr="00E210BD" w:rsidRDefault="00945A4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ด้านการมีส่วนร่วม 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Partnership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ได้ดำเนิน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โครงการสิทธิจากเรือสู่ฝั่ง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Ship to Shoer Rights Project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ร่วมกับสหภาพยุโรป (</w:t>
      </w:r>
      <w:r w:rsidR="004571AB" w:rsidRPr="00E210BD">
        <w:rPr>
          <w:rFonts w:ascii="TH SarabunPSK" w:hAnsi="TH SarabunPSK" w:cs="TH SarabunPSK"/>
          <w:sz w:val="32"/>
          <w:szCs w:val="32"/>
        </w:rPr>
        <w:t>European Union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571AB" w:rsidRPr="00E210BD">
        <w:rPr>
          <w:rFonts w:ascii="TH SarabunPSK" w:hAnsi="TH SarabunPSK" w:cs="TH SarabunPSK"/>
          <w:sz w:val="32"/>
          <w:szCs w:val="32"/>
        </w:rPr>
        <w:t>EU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และองค์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การแรงงานระหว่างประเทศ (</w:t>
      </w:r>
      <w:r w:rsidR="004571AB" w:rsidRPr="00E210BD">
        <w:rPr>
          <w:rFonts w:ascii="TH SarabunPSK" w:hAnsi="TH SarabunPSK" w:cs="TH SarabunPSK"/>
          <w:sz w:val="32"/>
          <w:szCs w:val="32"/>
        </w:rPr>
        <w:t>International Labour Organization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96D97" w:rsidRPr="00E210BD">
        <w:rPr>
          <w:rFonts w:ascii="TH SarabunPSK" w:hAnsi="TH SarabunPSK" w:cs="TH SarabunPSK"/>
          <w:sz w:val="32"/>
          <w:szCs w:val="32"/>
        </w:rPr>
        <w:t>I</w:t>
      </w:r>
      <w:r w:rsidR="004571AB" w:rsidRPr="00E210BD">
        <w:rPr>
          <w:rFonts w:ascii="TH SarabunPSK" w:hAnsi="TH SarabunPSK" w:cs="TH SarabunPSK"/>
          <w:sz w:val="32"/>
          <w:szCs w:val="32"/>
        </w:rPr>
        <w:t>LO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) เพื่อดำเนินการ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ข้อมูลพื้นฐานเกี่ยวกับสภาพการทำงานและสภาพความเป็นอยู่ของแรงานประมงและแรงานแปรรูปอาหารทะเลให้ครอบคลุมพื้นที่ทั้ง 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22 จังหวัดช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ายทะเลของไทย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ทั้งนี้ จากข้อมูลการสำรวจ พบว่าสภาพการทำงานของแรงงานในอุตสาหกรรมการประมง และแปรรูปอาหารทะเลเปลี่ยนแปลงไปในทิศทางที่ดีเมื่อเทียบกับผลสำรวจปี พ.ศ. </w:t>
      </w:r>
      <w:r w:rsidR="00C8445D" w:rsidRPr="00E210BD">
        <w:rPr>
          <w:rFonts w:ascii="TH SarabunPSK" w:hAnsi="TH SarabunPSK" w:cs="TH SarabunPSK"/>
          <w:sz w:val="32"/>
          <w:szCs w:val="32"/>
        </w:rPr>
        <w:t>2559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และได้ส่งเสริมให้ รง. สามารถให้สัตยาบันพิธีสาร ปี ค.ศ. </w:t>
      </w:r>
      <w:r w:rsidR="00C8445D" w:rsidRPr="00E210BD">
        <w:rPr>
          <w:rFonts w:ascii="TH SarabunPSK" w:hAnsi="TH SarabunPSK" w:cs="TH SarabunPSK"/>
          <w:sz w:val="32"/>
          <w:szCs w:val="32"/>
        </w:rPr>
        <w:t xml:space="preserve">2014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ส่วนสริมอนุสัญญาองค์การแรงานระหว่างประเทศ ฉบับที่ </w:t>
      </w:r>
      <w:r w:rsidR="00C8445D" w:rsidRPr="00E210BD">
        <w:rPr>
          <w:rFonts w:ascii="TH SarabunPSK" w:hAnsi="TH SarabunPSK" w:cs="TH SarabunPSK"/>
          <w:sz w:val="32"/>
          <w:szCs w:val="32"/>
        </w:rPr>
        <w:t>29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ว่าด้วยกระทรวงแร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ง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งาน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บังคับ ค.ศ. 1930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และอนุสัญญาฯ ฉบับที่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188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ว่าด้วยการทำงานในภาคประมง ค.ศ.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2007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รวมทั้งส่งเสริมการจัดตั้งศูนย์อภิบาลผู้เดินทางทะเลจังหวัดสงขลา ร่วมกับศูนย์ร่วมบริการช่วยเหลือแรงงานต่างด้าว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sz w:val="32"/>
          <w:szCs w:val="32"/>
        </w:rPr>
        <w:t>Stella Maris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) เพื่อช่วยเหลือแรงงานประมงทะเลให้ได้รับสิทธิตามกฎหมาย ซึ่งต่อมาโครงการ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ขยายขอบเขตการดำเนิ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นงานครอบคลุมประเทศในภูมิภาคอาเซี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ยนแล้ว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ประเทศ ได้แก่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ราชอาณ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าจักรกัมพูชา สาธารณรัฐอินโดนีเซีย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สาธารณรัฐประชาธิปไตยประชาชนลาว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สาธารณรัฐแห่งสหภาพพม่า สาธารณรัฐฟิลิปนส์ ราชอาณาจักรไทย และสาธารณรัฐสังคมนิยมเวียดนาม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โดยมีระยะเวลาดำเนินโครงการฯ ระหว่างเดือนสิงหาคม </w:t>
      </w:r>
      <w:r w:rsidR="00C8445D" w:rsidRPr="00E210BD">
        <w:rPr>
          <w:rFonts w:ascii="TH SarabunPSK" w:hAnsi="TH SarabunPSK" w:cs="TH SarabunPSK"/>
          <w:sz w:val="32"/>
          <w:szCs w:val="32"/>
        </w:rPr>
        <w:t xml:space="preserve">2563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C8445D" w:rsidRPr="00E210BD">
        <w:rPr>
          <w:rFonts w:ascii="TH SarabunPSK" w:hAnsi="TH SarabunPSK" w:cs="TH SarabunPSK"/>
          <w:sz w:val="32"/>
          <w:szCs w:val="32"/>
        </w:rPr>
        <w:t>2567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4571AB" w:rsidRPr="00E210BD">
        <w:rPr>
          <w:rFonts w:ascii="TH SarabunPSK" w:hAnsi="TH SarabunPSK" w:cs="TH SarabunPSK"/>
          <w:sz w:val="32"/>
          <w:szCs w:val="32"/>
        </w:rPr>
        <w:t>EU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เป็น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lastRenderedPageBreak/>
        <w:t>หน่วยงานสนับสนุนงบประมาณสำหรับดำเนินโครงการฯ รวมทั้งร่วมกับกระทรวงการต่างประเทศสหรัฐอเมริกาดำเนิน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Attaining Lasting Change for Better Enforc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ement of Labo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r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and Cr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iminal Law to Address Child Labor, Forced Labor and Human Trafficking Projec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t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sz w:val="32"/>
          <w:szCs w:val="32"/>
        </w:rPr>
        <w:t>ATLAS Project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เป็นการยกระดับการบังคับใช้กฎหมายแรงงาน และกฎหมายอาญาเพื่อแก้ไขปัญหาการใช้แรงงานเด็ก การใช้แรงงานบังคับ และการค้ามนุษย์ เพื่อการแลกเปลี่ยนที่ยั่งยืนโดยมีกรอบระยะเวลาดำเนินการระหว่างปี </w:t>
      </w:r>
      <w:r w:rsidR="00C8445D" w:rsidRPr="00E210BD">
        <w:rPr>
          <w:rFonts w:ascii="TH SarabunPSK" w:hAnsi="TH SarabunPSK" w:cs="TH SarabunPSK"/>
          <w:sz w:val="32"/>
          <w:szCs w:val="32"/>
        </w:rPr>
        <w:t>2562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-</w:t>
      </w:r>
      <w:r w:rsidR="00C8445D" w:rsidRPr="00E210BD">
        <w:rPr>
          <w:rFonts w:ascii="TH SarabunPSK" w:hAnsi="TH SarabunPSK" w:cs="TH SarabunPSK"/>
          <w:sz w:val="32"/>
          <w:szCs w:val="32"/>
        </w:rPr>
        <w:t>2566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ซึ่งจะได้รับการสนับสนุนด้านวิชาการและงบประมาณจากกระทรวงแรงงานสหรัฐอเมริกา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71AB" w:rsidRPr="00E210BD">
        <w:rPr>
          <w:rFonts w:ascii="TH SarabunPSK" w:hAnsi="TH SarabunPSK" w:cs="TH SarabunPSK"/>
          <w:sz w:val="32"/>
          <w:szCs w:val="32"/>
        </w:rPr>
        <w:t>United States Department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</w:rPr>
        <w:t>of Labor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571AB" w:rsidRPr="00E210BD">
        <w:rPr>
          <w:rFonts w:ascii="TH SarabunPSK" w:hAnsi="TH SarabunPSK" w:cs="TH SarabunPSK"/>
          <w:sz w:val="32"/>
          <w:szCs w:val="32"/>
        </w:rPr>
        <w:t>USDOL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ล้านดอลลาร์สหรัฐ เพื่อดำเนินโครงการใน 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ประเทศ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ราชอาณาจักรไทย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(เป็นประเทศนำร่อง)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สาธารณรัฐปารากวัย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และอีก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**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ซึ่งอยู่ระหว่างการพิจารณา โดยมี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องค์กรวินร็อคอินเตอร์เนชั้นแนล (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Winrock Inter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national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เป็นผู้ดำเนินโครงการฯ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C8445D" w:rsidRPr="00E210BD">
        <w:rPr>
          <w:rFonts w:ascii="TH SarabunPSK" w:hAnsi="TH SarabunPSK" w:cs="TH SarabunPSK"/>
          <w:sz w:val="32"/>
          <w:szCs w:val="32"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กิจกรรม ได้แก่ (</w:t>
      </w:r>
      <w:r w:rsidR="00C8445D" w:rsidRPr="00E210BD">
        <w:rPr>
          <w:rFonts w:ascii="TH SarabunPSK" w:hAnsi="TH SarabunPSK" w:cs="TH SarabunPSK"/>
          <w:sz w:val="32"/>
          <w:szCs w:val="32"/>
        </w:rPr>
        <w:t>1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การพัฒนากฎหมาย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การบังคั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บใช้กฎหมาย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งานที่มีประสิทธิภาพระหว่างหน่วยงานบังคับใช้กฎหมายและคุ้มครองทางสังคมที่เกี่ยวกับแรงงานเด็ก แรงงานบังคับและการค้ามนุษย์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="00C8445D" w:rsidRPr="00E210BD">
        <w:rPr>
          <w:rFonts w:ascii="TH SarabunPSK" w:hAnsi="TH SarabunPSK" w:cs="TH SarabunPSK"/>
          <w:sz w:val="32"/>
          <w:szCs w:val="32"/>
        </w:rPr>
        <w:t>2564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ได้มีจัดการอบรมแล้ว จำนวน </w:t>
      </w:r>
      <w:r w:rsidR="00C8445D" w:rsidRPr="00E210BD">
        <w:rPr>
          <w:rFonts w:ascii="TH SarabunPSK" w:hAnsi="TH SarabunPSK" w:cs="TH SarabunPSK"/>
          <w:sz w:val="32"/>
          <w:szCs w:val="32"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รุ่น และมีผู้ผ่านการอบรม </w:t>
      </w:r>
      <w:r w:rsidR="00C8445D" w:rsidRPr="00E210BD">
        <w:rPr>
          <w:rFonts w:ascii="TH SarabunPSK" w:hAnsi="TH SarabunPSK" w:cs="TH SarabunPSK"/>
          <w:sz w:val="32"/>
          <w:szCs w:val="32"/>
        </w:rPr>
        <w:t>115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571AB" w:rsidRPr="00E210BD" w:rsidRDefault="00C8445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. รง. ได้มี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เกี่ยวกับแนวทางการดำเนินงานในอนาคตเพื่อให้แรงงานในงานประมงได้รับการคุ้มครองสิทธิสอดคล้องตามมาตรฐานสากล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เช่น การกำหนดนโยบาย งบประมาณ บุคลากร หรือแผนงานเพื่อส่งเสริมการคุ้มครองแรงงานในงานประมง ทั้งในน่านน้ำและนอกน่านน้ำให้เกิดผลในทางปฏิบัติ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การกำหนดกลไกในการดำเนินงานรวมถึงวางบรรทัดฐานในการคุ้มครองแรงงานประมงทั้งแรงงานไทยและแรงงานต่างด้าวให้ได้รับการช่วยเหลือและได้รับประโยชน์ตามกฎหมายอย่างเท่าเทียม และการสร้างเครือข่ายความร่วมมือเพื่อผลักดันให้กลไกของหน่วยงานภาครัฐ สามารถป้องกันการลักลอบไปทำงานประมงในต่างประเทศได้อย่างเป็นรูปธรรม โดยมุ้งเน้นการดำเนินงานในเชิงรุกเพื่อเป็นการป้องกันปัญหาแรงงานถูกเอารัดเอาเปรียบที่อาจนำไปสู่การค้ามนุษย์ด้านแรงงาน และการบังคับใช้แรงงานหรือบริการ</w:t>
      </w:r>
    </w:p>
    <w:p w:rsidR="00283E6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รายการสถานการณ์การค้ามนุษย์ประจำปีที่กระทรวงการ</w:t>
      </w:r>
      <w:r w:rsidRPr="00E210BD">
        <w:rPr>
          <w:rFonts w:ascii="TH SarabunPSK" w:hAnsi="TH SarabunPSK" w:cs="TH SarabunPSK"/>
          <w:sz w:val="32"/>
          <w:szCs w:val="32"/>
          <w:cs/>
        </w:rPr>
        <w:t>ต่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างประเทศสหรัฐอเมริกาจัดทำขึ้นเป็นประจำทุกปี ตามกฎหมายว่าด้วยการปกป้องเหยื่อการค้ามนุษย์ของทั่วโล</w:t>
      </w:r>
      <w:r w:rsidRPr="00E210BD">
        <w:rPr>
          <w:rFonts w:ascii="TH SarabunPSK" w:hAnsi="TH SarabunPSK" w:cs="TH SarabunPSK"/>
          <w:sz w:val="32"/>
          <w:szCs w:val="32"/>
          <w:cs/>
        </w:rPr>
        <w:t>กกับมาตรฐานของสหรัฐอเมริกาและจัด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ระดับสถานการณ์การค้ามนุษย์ของประเทศ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E210BD">
        <w:rPr>
          <w:rFonts w:ascii="TH SarabunPSK" w:hAnsi="TH SarabunPSK" w:cs="TH SarabunPSK"/>
          <w:sz w:val="32"/>
          <w:szCs w:val="32"/>
          <w:cs/>
        </w:rPr>
        <w:t>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1) หมายถึง </w:t>
      </w:r>
      <w:r w:rsidRPr="00E210BD">
        <w:rPr>
          <w:rFonts w:ascii="TH SarabunPSK" w:hAnsi="TH SarabunPSK" w:cs="TH SarabunPSK"/>
          <w:sz w:val="32"/>
          <w:szCs w:val="32"/>
          <w:cs/>
        </w:rPr>
        <w:t>ประเทศที่ดำเนินการสอดคล้องกับมาต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รฐานขั้นต่ำตามกฎหมายของสหรัฐอเมริกาในการป้องกันและบังคับใช้กฎหมายการต่อต้านการค้ามนุษย์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2) หมายถึง ประเท</w:t>
      </w:r>
      <w:r w:rsidRPr="00E210BD">
        <w:rPr>
          <w:rFonts w:ascii="TH SarabunPSK" w:hAnsi="TH SarabunPSK" w:cs="TH SarabunPSK"/>
          <w:sz w:val="32"/>
          <w:szCs w:val="32"/>
          <w:cs/>
        </w:rPr>
        <w:t>ศ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ที่มีการดำเนินการยังไม่สอคค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ล้องกับกฎหมายของสหรัฐอเมริกา แต่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ได้แสดงให้เห็นถึงความพยายามในการแก้ไขปัญหาการค้ามนุษย์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ซึ่งต้องจับตามอง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 Watch List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) หมายถึง ประเทศที่มีลักษณะคล้ายระดับที่ 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แต่มีรายงาบถึงเหยื่อการค้ามนุษย์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>ที่เพิ่มขึ้น หรือไม่มีหลักฐานชัด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เจนว่ารัฐบาลได้พยายาม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>ต่อต้า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นการค้ามนุษย์</w:t>
      </w:r>
    </w:p>
    <w:p w:rsidR="008838AF" w:rsidRPr="00E210BD" w:rsidRDefault="006F734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3) หมายถึง ประเทศที่ดำเนินการไม่สอดคล้องกับมาตรฐานขั้นต่ำตามกฎหมายของสหรัฐอเมริกาและไม่มีความพยายามแก้ไขปัญหาการค้ามนุษย์</w:t>
      </w:r>
    </w:p>
    <w:p w:rsidR="004571AB" w:rsidRPr="00E210BD" w:rsidRDefault="00C96D97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444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83444C" w:rsidRPr="0083444C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E210BD">
        <w:rPr>
          <w:rFonts w:ascii="TH SarabunPSK" w:hAnsi="TH SarabunPSK" w:cs="TH SarabunPSK"/>
          <w:sz w:val="32"/>
          <w:szCs w:val="32"/>
          <w:cs/>
        </w:rPr>
        <w:t>สาธารณรัฐไลบีเรีย และสาธารณรัฐอาร์เจนตินา</w:t>
      </w:r>
    </w:p>
    <w:p w:rsidR="004571AB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1C51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รายงานการเงินแผ่นดิน ประจำปีงบประมาณ พ.ศ. 2565</w:t>
      </w:r>
    </w:p>
    <w:p w:rsidR="001D11E8" w:rsidRPr="00E210BD" w:rsidRDefault="001D11E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</w:t>
      </w:r>
      <w:r w:rsidR="00A27C5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การเงินแผ่นดิน ประจำปีงบประมาณ พ.ศ. 2565 ตามที่กระทรวงการคลังเสนอ และให้เสนอรัฐสภาทราบต่อไป </w:t>
      </w:r>
    </w:p>
    <w:p w:rsidR="00931C51" w:rsidRPr="00E210BD" w:rsidRDefault="001D11E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กค. เสนอว่า โดยที่พระราชบัญญัติวินัยการเงินการคลังของรัฐ พ.ศ.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2561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E210BD">
        <w:rPr>
          <w:rFonts w:ascii="TH SarabunPSK" w:hAnsi="TH SarabunPSK" w:cs="TH SarabunPSK"/>
          <w:sz w:val="32"/>
          <w:szCs w:val="32"/>
          <w:cs/>
        </w:rPr>
        <w:t>75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วรรคสาม บัญญัติให้ กค. เสนอรายงานการเงินแผ่นดินประจำปีงบประมาณพร้อมด้วยรายงานผลการตรวจสอบของ สตง.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ต่อคณะรัฐมนตรีเพื่อเสนอรัฐสภาภายในสองร้อยสิบวันนับแต่วันสิ้นปีงบประมาณ จึงได้เสนอรายงานการเงินแผ่นดิน ประจำปีงบประมาณ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210BD">
        <w:rPr>
          <w:rFonts w:ascii="TH SarabunPSK" w:hAnsi="TH SarabunPSK" w:cs="TH SarabunPSK"/>
          <w:sz w:val="32"/>
          <w:szCs w:val="32"/>
        </w:rPr>
        <w:t xml:space="preserve">2565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E210BD">
        <w:rPr>
          <w:rFonts w:ascii="TH SarabunPSK" w:hAnsi="TH SarabunPSK" w:cs="TH SarabunPSK"/>
          <w:sz w:val="32"/>
          <w:szCs w:val="32"/>
          <w:cs/>
        </w:rPr>
        <w:t>สำนักงานการตรวจเงินแผ่นดิน (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สตง.</w:t>
      </w:r>
      <w:r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ได้ตรวจสอบรับรองแล้ว (ครบกำหนดวันที่</w:t>
      </w:r>
      <w:r w:rsidRPr="00E210BD">
        <w:rPr>
          <w:rFonts w:ascii="TH SarabunPSK" w:hAnsi="TH SarabunPSK" w:cs="TH SarabunPSK"/>
          <w:sz w:val="32"/>
          <w:szCs w:val="32"/>
        </w:rPr>
        <w:t xml:space="preserve"> 27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เมษ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ายน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2566) </w:t>
      </w:r>
    </w:p>
    <w:p w:rsidR="00931C51" w:rsidRPr="00E210BD" w:rsidRDefault="003263C9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</w:t>
      </w:r>
      <w:r w:rsidR="0061266B" w:rsidRPr="00E210BD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p w:rsidR="00931C51" w:rsidRPr="00E210BD" w:rsidRDefault="0061266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รายงานการเงินแผ่นดิน ประจำปีงบประมาณ พ.ศ. 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จัดทำขึ้นตามมาตรฐานการบัญชีภาครัฐและนโยบายการบัญชีภาครัฐสำหรับบัญชีการเงินแผ่นดิน</w:t>
      </w:r>
      <w:r w:rsidR="00A27C5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ใช้หลักเกณฑ์คงค้างแบบผสม (</w:t>
      </w:r>
      <w:r w:rsidR="00931C51" w:rsidRPr="00E210BD">
        <w:rPr>
          <w:rFonts w:ascii="TH SarabunPSK" w:hAnsi="TH SarabunPSK" w:cs="TH SarabunPSK"/>
          <w:sz w:val="32"/>
          <w:szCs w:val="32"/>
        </w:rPr>
        <w:t>Modified Accrual Basis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ยก</w:t>
      </w:r>
      <w:r w:rsidR="00A27C5D">
        <w:rPr>
          <w:rFonts w:ascii="TH SarabunPSK" w:hAnsi="TH SarabunPSK" w:cs="TH SarabunPSK" w:hint="cs"/>
          <w:sz w:val="32"/>
          <w:szCs w:val="32"/>
          <w:cs/>
        </w:rPr>
        <w:t>เ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ว้นงบกระแสเงินสดและ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รายงานการ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รับจ่ายเงินประจำปีงบประมาณใช้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เ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กณฑ์เงินสด ประกอบด้วย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งบแสดงผลการดำเนินงานทางการเงิน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งบแสดงฐานะการเงิน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3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งบแสดงการเปลี่ยนแปลงสินทรัพย์สุทธิ/ส่วนทุน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งบกระแสเงินสด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รายงานการรับจ่ายเงินประจำปีงบประมาณ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6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หมายเหตุประกอบงบการเงิน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สาระสำคัญของรายงานการเงินแผ่นดิน</w:t>
      </w:r>
    </w:p>
    <w:p w:rsidR="00931C51" w:rsidRPr="00E210BD" w:rsidRDefault="00195748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งบแสดงผลการดำเนินงานทางการเงิน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สำหรับปีสิ้นสุดวันที่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A27C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195748" w:rsidRPr="00E210BD" w:rsidRDefault="00195748" w:rsidP="00E210BD">
      <w:pPr>
        <w:spacing w:after="0" w:line="340" w:lineRule="exact"/>
        <w:ind w:right="-461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="00965CB8" w:rsidRPr="00E210BD">
        <w:rPr>
          <w:rFonts w:ascii="TH SarabunPSK" w:hAnsi="TH SarabunPSK" w:cs="TH SarabunPSK"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(หน่วย</w:t>
      </w:r>
      <w:r w:rsidR="00AC79B9">
        <w:rPr>
          <w:rFonts w:ascii="TH SarabunPSK" w:hAnsi="TH SarabunPSK" w:cs="TH SarabunPSK"/>
          <w:sz w:val="32"/>
          <w:szCs w:val="32"/>
        </w:rPr>
        <w:t>: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ล้านบาท)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692"/>
        <w:gridCol w:w="1470"/>
        <w:gridCol w:w="1626"/>
        <w:gridCol w:w="1450"/>
        <w:gridCol w:w="1253"/>
      </w:tblGrid>
      <w:tr w:rsidR="0014220F" w:rsidRPr="00E210BD" w:rsidTr="000C05D6">
        <w:tc>
          <w:tcPr>
            <w:tcW w:w="4952" w:type="dxa"/>
            <w:vMerge w:val="restart"/>
            <w:tcBorders>
              <w:bottom w:val="nil"/>
            </w:tcBorders>
          </w:tcPr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  <w:gridSpan w:val="2"/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709" w:type="dxa"/>
            <w:gridSpan w:val="2"/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 (ลด)</w:t>
            </w:r>
          </w:p>
        </w:tc>
      </w:tr>
      <w:tr w:rsidR="000C05D6" w:rsidRPr="00E210BD" w:rsidTr="004F1F98">
        <w:tc>
          <w:tcPr>
            <w:tcW w:w="4952" w:type="dxa"/>
            <w:vMerge/>
            <w:tcBorders>
              <w:bottom w:val="nil"/>
            </w:tcBorders>
          </w:tcPr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67569" w:rsidRPr="00E210BD" w:rsidTr="00EA6D99">
        <w:trPr>
          <w:trHeight w:val="380"/>
        </w:trPr>
        <w:tc>
          <w:tcPr>
            <w:tcW w:w="4952" w:type="dxa"/>
            <w:vMerge w:val="restart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รายได้แผ่นดินจากหน่วยงาน (หักถอนคืนรายได้) </w:t>
            </w:r>
          </w:p>
          <w:p w:rsidR="00867569" w:rsidRPr="00E210BD" w:rsidRDefault="00A27C5D" w:rsidP="00A27C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67569"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เงินนำส่งกำไรและเงินปันผล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รวมรายได้แผ่นดิน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รายได้อื่น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415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569" w:rsidRPr="00E210BD" w:rsidTr="00EA6D99">
        <w:trPr>
          <w:trHeight w:val="1464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2,379,978.60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150,733.09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2,530,711.69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123,917.14</w:t>
            </w:r>
          </w:p>
        </w:tc>
        <w:tc>
          <w:tcPr>
            <w:tcW w:w="1415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2,205,738.91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160,069.85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2,365,808.76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180,672.75</w:t>
            </w:r>
          </w:p>
        </w:tc>
        <w:tc>
          <w:tcPr>
            <w:tcW w:w="1409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174,239.69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(9,336.76)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="00A27C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,902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(56,755.61)</w:t>
            </w:r>
          </w:p>
        </w:tc>
        <w:tc>
          <w:tcPr>
            <w:tcW w:w="1300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7.90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(5.83)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(31.41)</w:t>
            </w:r>
          </w:p>
        </w:tc>
      </w:tr>
      <w:tr w:rsidR="00867569" w:rsidRPr="00E210BD" w:rsidTr="00867569">
        <w:trPr>
          <w:trHeight w:val="364"/>
        </w:trPr>
        <w:tc>
          <w:tcPr>
            <w:tcW w:w="4952" w:type="dxa"/>
            <w:vMerge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2,654,628.83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2,546,481.51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108,147.32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4.25</w:t>
            </w:r>
          </w:p>
        </w:tc>
      </w:tr>
      <w:tr w:rsidR="00867569" w:rsidRPr="00E210BD" w:rsidTr="00867569">
        <w:trPr>
          <w:trHeight w:val="2176"/>
        </w:trPr>
        <w:tc>
          <w:tcPr>
            <w:tcW w:w="4952" w:type="dxa"/>
            <w:vMerge w:val="restart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:rsidR="00867569" w:rsidRPr="00E210BD" w:rsidRDefault="00A27C5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67569"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รายจ่ายจากเงินงบประมาณจากหน่วยงาน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ค่าใช้จ่ายอุดหนุน-หน่วยงานภาครัฐ </w:t>
            </w:r>
          </w:p>
          <w:p w:rsidR="00867569" w:rsidRPr="00E210BD" w:rsidRDefault="00867569" w:rsidP="00E210BD">
            <w:pPr>
              <w:pStyle w:val="ListParagraph"/>
              <w:numPr>
                <w:ilvl w:val="0"/>
                <w:numId w:val="6"/>
              </w:num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เพื่อการพัฒนาและฟื้นฟูเศรษฐกิจ </w:t>
            </w:r>
          </w:p>
          <w:p w:rsidR="00867569" w:rsidRPr="00E210BD" w:rsidRDefault="00867569" w:rsidP="00E210BD">
            <w:pPr>
              <w:pStyle w:val="ListParagraph"/>
              <w:numPr>
                <w:ilvl w:val="0"/>
                <w:numId w:val="6"/>
              </w:num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เพื่อแก้ปัญหา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รวมค่าใช้จ่าย 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รายได้ต่ำกว่าค่าใช้จ่ายสุทธิ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3,076,004.97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375.75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435,980.97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51,030.10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3,138,543.67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734.94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785,334.46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36,934.76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(62,538.70)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(359.19)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(349,353.49)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14,095.34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(1.99)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(48.87)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(44.48)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38.16</w:t>
            </w:r>
          </w:p>
        </w:tc>
      </w:tr>
      <w:tr w:rsidR="00867569" w:rsidRPr="00E210BD" w:rsidTr="00867569">
        <w:trPr>
          <w:trHeight w:val="275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3,563,391.79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3,961,547.83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(398,156.04)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(10.05)</w:t>
            </w:r>
          </w:p>
        </w:tc>
      </w:tr>
      <w:tr w:rsidR="00867569" w:rsidRPr="00E210BD" w:rsidTr="00867569">
        <w:trPr>
          <w:trHeight w:val="309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(908,762.96)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(1,415,066.32)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506,303.36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35.78</w:t>
            </w:r>
          </w:p>
        </w:tc>
      </w:tr>
    </w:tbl>
    <w:p w:rsidR="00195748" w:rsidRDefault="00B067E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2565 รัฐบาลมีรายได้เพิ่มขึ้นจากปีงบประมาณ พ.ศ.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108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,147.32 ล้านบาท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4.25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ซึ่งส่วนใหญ่เป็นรายได้จากภาษีอากร ค่าธรรมเนียมและอื่น ๆ และ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รัฐบาลมีค่าใช้จ่ายลดลงจากปีงบประมาณ พ.ศ.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79DC">
        <w:rPr>
          <w:rFonts w:ascii="TH SarabunPSK" w:hAnsi="TH SarabunPSK" w:cs="TH SarabunPSK" w:hint="cs"/>
          <w:b/>
          <w:bCs/>
          <w:sz w:val="32"/>
          <w:szCs w:val="32"/>
          <w:cs/>
        </w:rPr>
        <w:t>98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,156.04 ล้านบาท คิดเป็นร้อยละ 10.05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ซึ่งส่วนใหญ่เป็นเงินอุดหนุนเพื่อการก่อสร้างทางสายหลักระยะที่ </w:t>
      </w:r>
      <w:r w:rsidRPr="00E210BD">
        <w:rPr>
          <w:rFonts w:ascii="TH SarabunPSK" w:hAnsi="TH SarabunPSK" w:cs="TH SarabunPSK"/>
          <w:sz w:val="32"/>
          <w:szCs w:val="32"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10BD">
        <w:rPr>
          <w:rFonts w:ascii="TH SarabunPSK" w:hAnsi="TH SarabunPSK" w:cs="TH SarabunPSK"/>
          <w:sz w:val="32"/>
          <w:szCs w:val="32"/>
        </w:rPr>
        <w:t>ADB</w:t>
      </w:r>
      <w:r w:rsidRPr="00E210BD">
        <w:rPr>
          <w:rFonts w:ascii="TH SarabunPSK" w:hAnsi="TH SarabunPSK" w:cs="TH SarabunPSK"/>
          <w:sz w:val="32"/>
          <w:szCs w:val="32"/>
          <w:cs/>
        </w:rPr>
        <w:t>) และค่าใช้จ่ายอุดห</w:t>
      </w:r>
      <w:r w:rsidR="00DB79DC">
        <w:rPr>
          <w:rFonts w:ascii="TH SarabunPSK" w:hAnsi="TH SarabunPSK" w:cs="TH SarabunPSK"/>
          <w:sz w:val="32"/>
          <w:szCs w:val="32"/>
          <w:cs/>
        </w:rPr>
        <w:t>นุนเพื่อแก้</w:t>
      </w:r>
      <w:r w:rsidRPr="00E210BD">
        <w:rPr>
          <w:rFonts w:ascii="TH SarabunPSK" w:hAnsi="TH SarabunPSK" w:cs="TH SarabunPSK"/>
          <w:sz w:val="32"/>
          <w:szCs w:val="32"/>
          <w:cs/>
        </w:rPr>
        <w:t>ไขปัญหา เยียวยา ฟื้นฟูเศรษฐกิจและสังคม</w:t>
      </w:r>
      <w:r w:rsidR="00DB7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9DC">
        <w:rPr>
          <w:rFonts w:ascii="TH SarabunPSK" w:hAnsi="TH SarabunPSK" w:cs="TH SarabunPSK"/>
          <w:sz w:val="32"/>
          <w:szCs w:val="32"/>
          <w:cs/>
        </w:rPr>
        <w:t>แก้ไขปัญหาเศรษฐกิจและสังคม</w:t>
      </w:r>
      <w:r w:rsidRPr="00E210BD">
        <w:rPr>
          <w:rFonts w:ascii="TH SarabunPSK" w:hAnsi="TH SarabunPSK" w:cs="TH SarabunPSK"/>
          <w:sz w:val="32"/>
          <w:szCs w:val="32"/>
          <w:cs/>
        </w:rPr>
        <w:t>ที่ได้รับผลกระทบจากการแพร่ระบาดของ</w:t>
      </w:r>
      <w:r w:rsidR="00DB79D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E210BD">
        <w:rPr>
          <w:rFonts w:ascii="TH SarabunPSK" w:hAnsi="TH SarabunPSK" w:cs="TH SarabunPSK"/>
          <w:sz w:val="32"/>
          <w:szCs w:val="32"/>
        </w:rPr>
        <w:t>2019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แต่อย่างไรก็ตาม ในปีงบประมาณ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 xml:space="preserve">2565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รัฐบาลมีรายได้ต่ำกว่าค่าใช้จ่ายสุทธิจำนวน </w:t>
      </w:r>
      <w:r w:rsidRPr="00E210BD">
        <w:rPr>
          <w:rFonts w:ascii="TH SarabunPSK" w:hAnsi="TH SarabunPSK" w:cs="TH SarabunPSK"/>
          <w:sz w:val="32"/>
          <w:szCs w:val="32"/>
        </w:rPr>
        <w:t>506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,303.36 ล้านบาท คิดเป็นร้อยละ 35.78 ซึ่งเกิดจากการดำเนินงานประจำปีงบประมาณ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ที่มีรายได้ต่ำกว่าค่าใช้จ่าย</w:t>
      </w:r>
    </w:p>
    <w:p w:rsidR="00BA1054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054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4F1D" w:rsidRPr="00E210BD" w:rsidRDefault="00FC4F1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งบแสดงฐานะการเงิน ณ วันที่ 30 กันยายน 2565 และ 2564 </w:t>
      </w:r>
    </w:p>
    <w:p w:rsidR="0011031B" w:rsidRPr="00E210BD" w:rsidRDefault="00DB79DC" w:rsidP="00AC79B9">
      <w:pPr>
        <w:spacing w:after="0" w:line="340" w:lineRule="exact"/>
        <w:ind w:right="-7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79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1031B" w:rsidRPr="00E210BD">
        <w:rPr>
          <w:rFonts w:ascii="TH SarabunPSK" w:hAnsi="TH SarabunPSK" w:cs="TH SarabunPSK"/>
          <w:sz w:val="32"/>
          <w:szCs w:val="32"/>
          <w:cs/>
        </w:rPr>
        <w:t>(หน่วย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1031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853"/>
        <w:gridCol w:w="1450"/>
        <w:gridCol w:w="1371"/>
        <w:gridCol w:w="1528"/>
        <w:gridCol w:w="1289"/>
      </w:tblGrid>
      <w:tr w:rsidR="0011031B" w:rsidRPr="00E210BD" w:rsidTr="0056509A">
        <w:tc>
          <w:tcPr>
            <w:tcW w:w="4933" w:type="dxa"/>
            <w:vMerge w:val="restart"/>
            <w:tcBorders>
              <w:bottom w:val="nil"/>
            </w:tcBorders>
          </w:tcPr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8" w:type="dxa"/>
            <w:gridSpan w:val="2"/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830" w:type="dxa"/>
            <w:gridSpan w:val="2"/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11031B" w:rsidRPr="00E210BD" w:rsidTr="0056509A">
        <w:tc>
          <w:tcPr>
            <w:tcW w:w="4933" w:type="dxa"/>
            <w:vMerge/>
            <w:tcBorders>
              <w:bottom w:val="nil"/>
            </w:tcBorders>
          </w:tcPr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11031B" w:rsidRPr="00E210BD" w:rsidTr="0056509A">
        <w:tc>
          <w:tcPr>
            <w:tcW w:w="4933" w:type="dxa"/>
            <w:tcBorders>
              <w:top w:val="nil"/>
            </w:tcBorders>
          </w:tcPr>
          <w:p w:rsidR="0011031B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สินทรัพย์</w:t>
            </w:r>
          </w:p>
          <w:p w:rsidR="00762EDD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สินทรัพย์หมุนเวียน</w:t>
            </w:r>
          </w:p>
          <w:p w:rsidR="00762EDD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สินทรัพย์ไม่หมุนเวียน</w:t>
            </w:r>
          </w:p>
        </w:tc>
        <w:tc>
          <w:tcPr>
            <w:tcW w:w="1414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</w:rPr>
              <w:t>779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,746.89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7,513,750.89</w:t>
            </w:r>
          </w:p>
        </w:tc>
        <w:tc>
          <w:tcPr>
            <w:tcW w:w="1314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829,996.47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7,494,345.65</w:t>
            </w:r>
          </w:p>
        </w:tc>
        <w:tc>
          <w:tcPr>
            <w:tcW w:w="1533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(50,249.58)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19,405.24</w:t>
            </w:r>
          </w:p>
        </w:tc>
        <w:tc>
          <w:tcPr>
            <w:tcW w:w="1297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(6.05)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0.26</w:t>
            </w:r>
          </w:p>
        </w:tc>
      </w:tr>
      <w:tr w:rsidR="0011031B" w:rsidRPr="00E210BD" w:rsidTr="0056509A">
        <w:tc>
          <w:tcPr>
            <w:tcW w:w="4933" w:type="dxa"/>
          </w:tcPr>
          <w:p w:rsidR="0011031B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รวมสินทรัพย์</w:t>
            </w:r>
          </w:p>
        </w:tc>
        <w:tc>
          <w:tcPr>
            <w:tcW w:w="1414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8,293,497.78</w:t>
            </w:r>
          </w:p>
        </w:tc>
        <w:tc>
          <w:tcPr>
            <w:tcW w:w="1314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8,324,342.12</w:t>
            </w:r>
          </w:p>
        </w:tc>
        <w:tc>
          <w:tcPr>
            <w:tcW w:w="1533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(30,844.34)</w:t>
            </w:r>
          </w:p>
        </w:tc>
        <w:tc>
          <w:tcPr>
            <w:tcW w:w="1297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(0.37)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หนี้สินหมุนเวียน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หนี้สินไม่หมุนเวียน</w:t>
            </w:r>
          </w:p>
        </w:tc>
        <w:tc>
          <w:tcPr>
            <w:tcW w:w="1414" w:type="dxa"/>
          </w:tcPr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822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787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954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172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314" w:type="dxa"/>
          </w:tcPr>
          <w:p w:rsidR="00DE188F" w:rsidRPr="0023313E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E188F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633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936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07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286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112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93</w:t>
            </w:r>
          </w:p>
        </w:tc>
        <w:tc>
          <w:tcPr>
            <w:tcW w:w="1533" w:type="dxa"/>
          </w:tcPr>
          <w:p w:rsidR="008F71BC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F71BC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188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85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13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668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059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97" w:type="dxa"/>
          </w:tcPr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11.56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9.17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รวมหนี้สิน </w:t>
            </w:r>
          </w:p>
        </w:tc>
        <w:tc>
          <w:tcPr>
            <w:tcW w:w="1414" w:type="dxa"/>
          </w:tcPr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776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959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314" w:type="dxa"/>
          </w:tcPr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92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0,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049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533" w:type="dxa"/>
          </w:tcPr>
          <w:p w:rsidR="00762EDD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856,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910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9.61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ทุน</w:t>
            </w:r>
          </w:p>
          <w:p w:rsidR="0056509A" w:rsidRPr="0023313E" w:rsidRDefault="00DB79DC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>รายได้ต่ำกว่าค่าใช้</w:t>
            </w:r>
            <w:r w:rsidR="0056509A" w:rsidRPr="0023313E">
              <w:rPr>
                <w:rFonts w:ascii="TH SarabunPSK" w:hAnsi="TH SarabunPSK" w:cs="TH SarabunPSK"/>
                <w:sz w:val="28"/>
                <w:cs/>
              </w:rPr>
              <w:t>จ่ายสะสม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กำไร/ขาดทุนที่ยังไม่เกิดจากเงินลงทุนสุทธิ</w:t>
            </w:r>
          </w:p>
        </w:tc>
        <w:tc>
          <w:tcPr>
            <w:tcW w:w="1414" w:type="dxa"/>
          </w:tcPr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264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479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37</w:t>
            </w:r>
          </w:p>
          <w:p w:rsidR="00762EDD" w:rsidRPr="0023313E" w:rsidRDefault="00EA6D9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796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697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48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739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314" w:type="dxa"/>
          </w:tcPr>
          <w:p w:rsidR="00DE188F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231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474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49</w:t>
            </w:r>
          </w:p>
          <w:p w:rsidR="00DB79DC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888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772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591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1533" w:type="dxa"/>
          </w:tcPr>
          <w:p w:rsidR="008F71BC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33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022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88</w:t>
            </w:r>
          </w:p>
          <w:p w:rsidR="008F71BC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907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925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62EDD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852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0.78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(18.57)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(20.87)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รวมสินทรัพย์สุทธิ/ส่วนทุน</w:t>
            </w:r>
          </w:p>
        </w:tc>
        <w:tc>
          <w:tcPr>
            <w:tcW w:w="1414" w:type="dxa"/>
          </w:tcPr>
          <w:p w:rsidR="00762EDD" w:rsidRPr="0023313E" w:rsidRDefault="00EA6D9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(1,483,461.45)</w:t>
            </w:r>
          </w:p>
        </w:tc>
        <w:tc>
          <w:tcPr>
            <w:tcW w:w="1314" w:type="dxa"/>
          </w:tcPr>
          <w:p w:rsidR="00762EDD" w:rsidRPr="0023313E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595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706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88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533" w:type="dxa"/>
          </w:tcPr>
          <w:p w:rsidR="00762EDD" w:rsidRPr="0023313E" w:rsidRDefault="004416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887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754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57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(149.03)</w:t>
            </w:r>
          </w:p>
        </w:tc>
      </w:tr>
      <w:tr w:rsidR="0056509A" w:rsidRPr="00E210BD" w:rsidTr="0056509A">
        <w:tc>
          <w:tcPr>
            <w:tcW w:w="4933" w:type="dxa"/>
          </w:tcPr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รวมหนี้สินและสินทรัพย์สุทธิ/ส่วนทุน</w:t>
            </w:r>
          </w:p>
        </w:tc>
        <w:tc>
          <w:tcPr>
            <w:tcW w:w="1414" w:type="dxa"/>
          </w:tcPr>
          <w:p w:rsidR="0056509A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293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497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78</w:t>
            </w:r>
          </w:p>
        </w:tc>
        <w:tc>
          <w:tcPr>
            <w:tcW w:w="1314" w:type="dxa"/>
          </w:tcPr>
          <w:p w:rsidR="0056509A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324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342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1533" w:type="dxa"/>
          </w:tcPr>
          <w:p w:rsidR="0056509A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844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56509A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(0.37)</w:t>
            </w:r>
          </w:p>
        </w:tc>
      </w:tr>
    </w:tbl>
    <w:p w:rsidR="00D97A7D" w:rsidRPr="00E210BD" w:rsidRDefault="00D97A7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รัฐบาลมีสินทรัพย์สุทธิ/ส่วนทุน ณ วันสิ้นปีงบประมาณ พ.ศ. 2565 ลดลงจำนวน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483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461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สินทรัพย์สุทธิ/ส่วนทุนลดลงจากปีงบประมาณ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>8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7</w:t>
      </w:r>
      <w:r w:rsidR="00DB79DC">
        <w:rPr>
          <w:rFonts w:ascii="TH SarabunPSK" w:hAnsi="TH SarabunPSK" w:cs="TH SarabunPSK" w:hint="cs"/>
          <w:sz w:val="32"/>
          <w:szCs w:val="32"/>
          <w:cs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754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57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149.03 ซึ่งเป็นผลจากมีการปรับปรุงทุนของหน่วยงานจากการตีราคาเพิ่มขึ้นของมูลค่าที่ดินราชพัสดุโดยกรมธนารักษ์ การดำเน</w:t>
      </w:r>
      <w:r w:rsidR="00DB79DC">
        <w:rPr>
          <w:rFonts w:ascii="TH SarabunPSK" w:hAnsi="TH SarabunPSK" w:cs="TH SarabunPSK"/>
          <w:sz w:val="32"/>
          <w:szCs w:val="32"/>
          <w:cs/>
        </w:rPr>
        <w:t>ินงานประจำปีที่มีรายได้ต่ำกว่าค่า</w:t>
      </w:r>
      <w:r w:rsidRPr="00E210BD">
        <w:rPr>
          <w:rFonts w:ascii="TH SarabunPSK" w:hAnsi="TH SarabunPSK" w:cs="TH SarabunPSK"/>
          <w:sz w:val="32"/>
          <w:szCs w:val="32"/>
          <w:cs/>
        </w:rPr>
        <w:t>ใช้จ่ายและการปรับปรุงรายได้และค่าใช้จ่ายของปีก่อนเข้าบัญชีรายได้ต่ำกว่าค่าใช้จ่ายสะสม และการปรับมูลค่าเงินลงทุนในหลักทรัพย์ในความต้องการของตลาดระยะยาวลดลงตามมูลค่ายุติธรรม</w:t>
      </w:r>
    </w:p>
    <w:p w:rsidR="0011031B" w:rsidRPr="00DB79DC" w:rsidRDefault="00D97A7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งบแสดงการเปลี่ยนแปลงสินทรัพย์สุทธิ/ส่วนทุน สำหรับปีสิ้นสุดวันที่ </w:t>
      </w:r>
      <w:r w:rsidR="007B5149" w:rsidRPr="00DB79DC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0A4928" w:rsidRPr="00DB79DC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="000A4928" w:rsidRPr="00DB79DC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</w:p>
    <w:p w:rsidR="00385B7B" w:rsidRPr="00E210BD" w:rsidRDefault="00385B7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(หน่วย :</w:t>
      </w:r>
      <w:r w:rsidR="0017717A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43"/>
        <w:gridCol w:w="1450"/>
        <w:gridCol w:w="1802"/>
        <w:gridCol w:w="1450"/>
        <w:gridCol w:w="1738"/>
      </w:tblGrid>
      <w:tr w:rsidR="00385B7B" w:rsidRPr="00E210BD" w:rsidTr="00CC3359">
        <w:tc>
          <w:tcPr>
            <w:tcW w:w="3443" w:type="dxa"/>
            <w:vMerge w:val="restart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รายการเคลื่อนไหว</w:t>
            </w:r>
          </w:p>
        </w:tc>
        <w:tc>
          <w:tcPr>
            <w:tcW w:w="3252" w:type="dxa"/>
            <w:gridSpan w:val="2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88" w:type="dxa"/>
            <w:gridSpan w:val="2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9748D7" w:rsidRPr="00E210BD" w:rsidTr="00CC3359"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CE10E4" w:rsidRPr="00E210BD" w:rsidTr="00CC3359">
        <w:tc>
          <w:tcPr>
            <w:tcW w:w="3443" w:type="dxa"/>
            <w:tcBorders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สินทรัพย์สุทธิ ณ วันที่ 30 กันยายน 2564 ก่อนปรับปรุง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50" w:type="dxa"/>
            <w:tcBorders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(595,706.88)</w:t>
            </w:r>
          </w:p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517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,640.03</w:t>
            </w:r>
          </w:p>
        </w:tc>
        <w:tc>
          <w:tcPr>
            <w:tcW w:w="1450" w:type="dxa"/>
            <w:tcBorders>
              <w:bottom w:val="nil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(1,113,346.91)</w:t>
            </w:r>
          </w:p>
        </w:tc>
        <w:tc>
          <w:tcPr>
            <w:tcW w:w="1738" w:type="dxa"/>
            <w:tcBorders>
              <w:bottom w:val="nil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(215.08)</w:t>
            </w:r>
          </w:p>
        </w:tc>
      </w:tr>
      <w:tr w:rsidR="00CE10E4" w:rsidRPr="00E210BD" w:rsidTr="00CC3359">
        <w:tc>
          <w:tcPr>
            <w:tcW w:w="3443" w:type="dxa"/>
            <w:tcBorders>
              <w:top w:val="nil"/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ปรับปรุงรายได้และค่าใช้จ่ายของปีก่อน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837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(3,301.61)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4,139.34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125.37</w:t>
            </w:r>
          </w:p>
        </w:tc>
      </w:tr>
      <w:tr w:rsidR="00CE10E4" w:rsidRPr="00E210BD" w:rsidTr="00AC79B9">
        <w:tc>
          <w:tcPr>
            <w:tcW w:w="3443" w:type="dxa"/>
            <w:tcBorders>
              <w:top w:val="nil"/>
              <w:bottom w:val="single" w:sz="4" w:space="0" w:color="auto"/>
            </w:tcBorders>
          </w:tcPr>
          <w:p w:rsidR="00DA67B7" w:rsidRPr="004053B5" w:rsidRDefault="0017717A" w:rsidP="002D4FE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ยอดคงเหลือ ณ วันที่ 30 กันยายน 2564 </w:t>
            </w:r>
            <w:r w:rsidR="00565CCE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หลังปรับปรุง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(594,869.15)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514,338.42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(1,109,207.57)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(215.66)</w:t>
            </w:r>
          </w:p>
        </w:tc>
      </w:tr>
      <w:tr w:rsidR="00CE10E4" w:rsidRPr="00E210BD" w:rsidTr="00AC79B9">
        <w:trPr>
          <w:trHeight w:val="1070"/>
        </w:trPr>
        <w:tc>
          <w:tcPr>
            <w:tcW w:w="3443" w:type="dxa"/>
            <w:tcBorders>
              <w:top w:val="single" w:sz="4" w:space="0" w:color="auto"/>
              <w:bottom w:val="nil"/>
            </w:tcBorders>
          </w:tcPr>
          <w:p w:rsidR="00DA67B7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การเปลี่ยนแปลงสินทรัพย์สุทธิ/ส่วนทุน</w:t>
            </w:r>
          </w:p>
          <w:p w:rsidR="00DA67B7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สำหรับปี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  <w:p w:rsidR="0017717A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ส่วน</w:t>
            </w:r>
            <w:r w:rsidR="004053B5">
              <w:rPr>
                <w:rFonts w:ascii="TH SarabunPSK" w:hAnsi="TH SarabunPSK" w:cs="TH SarabunPSK"/>
                <w:sz w:val="28"/>
                <w:cs/>
              </w:rPr>
              <w:t>เกินทุนจากการปรับมูลค่าที่ดินราช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พัสดุ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E10E4" w:rsidRPr="000F7596" w:rsidRDefault="00CE10E4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E10E4" w:rsidRPr="000F7596" w:rsidRDefault="00CE10E4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33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,022.88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221,866.60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(188,843.72)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(85.12)</w:t>
            </w:r>
          </w:p>
        </w:tc>
      </w:tr>
      <w:tr w:rsidR="00AC79B9" w:rsidRPr="00E210BD" w:rsidTr="00AC79B9">
        <w:trPr>
          <w:trHeight w:val="970"/>
        </w:trPr>
        <w:tc>
          <w:tcPr>
            <w:tcW w:w="3443" w:type="dxa"/>
            <w:tcBorders>
              <w:top w:val="nil"/>
              <w:bottom w:val="nil"/>
            </w:tcBorders>
          </w:tcPr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ผลจากการดำเนินงานประจำปีที่มีรายได้ต่ำกว่าค่าใช้จ่าย</w:t>
            </w:r>
          </w:p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กำไรขาดทุนที่ยังไม่เกิดขึ้นจากเงินลงทุนสุทธิ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(908,762.96)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(12,852.22)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(1,415,066.32)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83,154.42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506,303.36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(96,006.64)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35.78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(115.46)</w:t>
            </w:r>
          </w:p>
        </w:tc>
      </w:tr>
      <w:tr w:rsidR="00CE10E4" w:rsidRPr="00E210BD" w:rsidTr="00CC3359">
        <w:tc>
          <w:tcPr>
            <w:tcW w:w="3443" w:type="dxa"/>
            <w:tcBorders>
              <w:top w:val="nil"/>
              <w:bottom w:val="single" w:sz="4" w:space="0" w:color="auto"/>
            </w:tcBorders>
          </w:tcPr>
          <w:p w:rsidR="0017717A" w:rsidRPr="000F7596" w:rsidRDefault="00CE10E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สินทรัทย์สุทธิ ณ วันที่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กันยายน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7717A" w:rsidRPr="000F7596" w:rsidRDefault="00CE10E4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(1,483,461.45)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(595,706.88)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(887,754.57)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(149.03)</w:t>
            </w:r>
          </w:p>
        </w:tc>
      </w:tr>
    </w:tbl>
    <w:p w:rsidR="0011031B" w:rsidRDefault="0011031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313E" w:rsidRPr="00E210BD" w:rsidRDefault="0023313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359" w:rsidRPr="004053B5" w:rsidRDefault="00CC3359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 xml:space="preserve">4 </w:t>
      </w:r>
      <w:r w:rsidRPr="004053B5">
        <w:rPr>
          <w:rFonts w:ascii="TH SarabunPSK" w:hAnsi="TH SarabunPSK" w:cs="TH SarabunPSK"/>
          <w:b/>
          <w:bCs/>
          <w:sz w:val="32"/>
          <w:szCs w:val="32"/>
          <w:cs/>
        </w:rPr>
        <w:t>งบกระแสเงินสด สำหรับ</w:t>
      </w:r>
      <w:r w:rsidR="00381393" w:rsidRPr="004053B5">
        <w:rPr>
          <w:rFonts w:ascii="TH SarabunPSK" w:hAnsi="TH SarabunPSK" w:cs="TH SarabunPSK"/>
          <w:b/>
          <w:bCs/>
          <w:sz w:val="32"/>
          <w:szCs w:val="32"/>
          <w:cs/>
        </w:rPr>
        <w:t>ปีสิ้นสุดวันที่ 30 กันยายน 2565 และ 2564</w:t>
      </w:r>
    </w:p>
    <w:p w:rsidR="00381393" w:rsidRPr="00E210BD" w:rsidRDefault="00381393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(หน่วย :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23"/>
        <w:gridCol w:w="1484"/>
        <w:gridCol w:w="1799"/>
        <w:gridCol w:w="1450"/>
        <w:gridCol w:w="1727"/>
      </w:tblGrid>
      <w:tr w:rsidR="00381393" w:rsidRPr="00E210BD" w:rsidTr="006822FA">
        <w:tc>
          <w:tcPr>
            <w:tcW w:w="3423" w:type="dxa"/>
            <w:vMerge w:val="restart"/>
            <w:tcBorders>
              <w:bottom w:val="nil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83" w:type="dxa"/>
            <w:gridSpan w:val="2"/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77" w:type="dxa"/>
            <w:gridSpan w:val="2"/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381393" w:rsidRPr="00E210BD" w:rsidTr="005E6BF0">
        <w:tc>
          <w:tcPr>
            <w:tcW w:w="3423" w:type="dxa"/>
            <w:vMerge/>
            <w:tcBorders>
              <w:bottom w:val="nil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6822FA" w:rsidRPr="00E210BD" w:rsidTr="005E6BF0">
        <w:trPr>
          <w:trHeight w:val="1087"/>
        </w:trPr>
        <w:tc>
          <w:tcPr>
            <w:tcW w:w="3423" w:type="dxa"/>
            <w:vMerge w:val="restart"/>
            <w:tcBorders>
              <w:top w:val="nil"/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กระแสเงินสดจากกิจกรรมดำเนินงาน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ab/>
              <w:t>เงินสดรับ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ab/>
              <w:t>เงินสดจ่าย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แสเ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งินสดสุทธิจากกิจกรรมดำเนินงาน</w:t>
            </w:r>
          </w:p>
          <w:p w:rsidR="006822FA" w:rsidRPr="000F7596" w:rsidRDefault="006822FA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งินสดจากกิจกรรมลงทุน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760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951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.6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192</w:t>
            </w:r>
            <w:r w:rsidR="004053B5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358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69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907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954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77</w:t>
            </w: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465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442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147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003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273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083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1)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(3.76)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(6.12)</w:t>
            </w:r>
          </w:p>
        </w:tc>
      </w:tr>
      <w:tr w:rsidR="006822FA" w:rsidRPr="00E210BD" w:rsidTr="005E6BF0">
        <w:trPr>
          <w:trHeight w:val="389"/>
        </w:trPr>
        <w:tc>
          <w:tcPr>
            <w:tcW w:w="3423" w:type="dxa"/>
            <w:vMerge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431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407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557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487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63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126</w:t>
            </w:r>
            <w:r w:rsidR="006822FA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080</w:t>
            </w:r>
            <w:r w:rsidR="006822FA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822FA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22.62</w:t>
            </w:r>
          </w:p>
        </w:tc>
      </w:tr>
      <w:tr w:rsidR="006822FA" w:rsidRPr="00E210BD" w:rsidTr="00AC11FC">
        <w:trPr>
          <w:trHeight w:val="119"/>
        </w:trPr>
        <w:tc>
          <w:tcPr>
            <w:tcW w:w="3423" w:type="dxa"/>
            <w:vMerge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C79B9" w:rsidRPr="00E210BD" w:rsidTr="00AC79B9">
        <w:trPr>
          <w:trHeight w:val="800"/>
        </w:trPr>
        <w:tc>
          <w:tcPr>
            <w:tcW w:w="3423" w:type="dxa"/>
            <w:tcBorders>
              <w:top w:val="nil"/>
              <w:bottom w:val="nil"/>
            </w:tcBorders>
          </w:tcPr>
          <w:p w:rsidR="00AC79B9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เงินสดรับ</w:t>
            </w:r>
          </w:p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เงินสดจ่าย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29.07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231.33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854.79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760.30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F7596">
              <w:rPr>
                <w:rFonts w:ascii="TH SarabunPSK" w:hAnsi="TH SarabunPSK" w:cs="TH SarabunPSK"/>
                <w:sz w:val="28"/>
              </w:rPr>
              <w:t>1,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852.72)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528.97)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(98.43)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(61.26)</w:t>
            </w:r>
          </w:p>
        </w:tc>
      </w:tr>
      <w:tr w:rsidR="007C056E" w:rsidRPr="00E210BD" w:rsidTr="005E6BF0">
        <w:trPr>
          <w:trHeight w:val="336"/>
        </w:trPr>
        <w:tc>
          <w:tcPr>
            <w:tcW w:w="3423" w:type="dxa"/>
            <w:tcBorders>
              <w:top w:val="nil"/>
              <w:bottom w:val="nil"/>
            </w:tcBorders>
          </w:tcPr>
          <w:p w:rsidR="007C056E" w:rsidRPr="000F7596" w:rsidRDefault="007C056E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กระแสเงินสดสุทธิจากกิจกรรมลงทุน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7C056E" w:rsidRPr="000F7596" w:rsidRDefault="007C056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4053B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C056E" w:rsidRPr="000F7596" w:rsidRDefault="007C056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905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51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C056E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="007C056E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703</w:t>
            </w:r>
            <w:r w:rsidR="007C056E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43.61</w:t>
            </w:r>
          </w:p>
        </w:tc>
      </w:tr>
      <w:tr w:rsidR="005E6BF0" w:rsidRPr="00E210BD" w:rsidTr="00457CAB">
        <w:trPr>
          <w:trHeight w:val="1069"/>
        </w:trPr>
        <w:tc>
          <w:tcPr>
            <w:tcW w:w="3423" w:type="dxa"/>
            <w:vMerge w:val="restart"/>
            <w:tcBorders>
              <w:top w:val="nil"/>
            </w:tcBorders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กระแสเงินสดจากกิจกรรมจัดหาเงิน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เงินสดรับ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เงินสดจ่าย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กระแสเงินสดสุทธิจากกิจกรรมจัดหาเงิน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เงินสดและรายการเทียบเท่าเงินสดเพิ่มขึ้น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(ลดลง) สุทธิ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 ณ วันต้นงวด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 ณ วันปลายงวด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447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896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003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297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392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304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54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820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236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55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592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22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183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061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2.32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10.06</w:t>
            </w:r>
          </w:p>
        </w:tc>
      </w:tr>
      <w:tr w:rsidR="005E6BF0" w:rsidRPr="00E210BD" w:rsidTr="00457CAB">
        <w:trPr>
          <w:trHeight w:val="424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444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598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79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572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067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81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127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469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(22.28)</w:t>
            </w:r>
          </w:p>
        </w:tc>
      </w:tr>
      <w:tr w:rsidR="005E6BF0" w:rsidRPr="00E210BD" w:rsidTr="00457CAB">
        <w:trPr>
          <w:trHeight w:val="574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989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314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50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2.95</w:t>
            </w:r>
          </w:p>
        </w:tc>
      </w:tr>
      <w:tr w:rsidR="005E6BF0" w:rsidRPr="00E210BD" w:rsidTr="00457CAB">
        <w:trPr>
          <w:trHeight w:val="751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</w:rPr>
              <w:t>,0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611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381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1.75</w:t>
            </w:r>
          </w:p>
        </w:tc>
      </w:tr>
      <w:tr w:rsidR="005E6BF0" w:rsidRPr="00E210BD" w:rsidTr="005E6BF0">
        <w:trPr>
          <w:trHeight w:val="972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4053B5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633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622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56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989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1.77</w:t>
            </w:r>
          </w:p>
        </w:tc>
      </w:tr>
    </w:tbl>
    <w:p w:rsidR="00381393" w:rsidRPr="00E210BD" w:rsidRDefault="00201A1E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รายงานการรับจ่ายเงินประจำปีงบประมาณ สำหรับปีสิ้นสุด วันที่ 30 กันยายน 2565 และ 2564</w:t>
      </w:r>
    </w:p>
    <w:p w:rsidR="00C07F9E" w:rsidRPr="00E210BD" w:rsidRDefault="00C07F9E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(หน่วย :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9"/>
        <w:gridCol w:w="1484"/>
        <w:gridCol w:w="1797"/>
        <w:gridCol w:w="1471"/>
        <w:gridCol w:w="1722"/>
      </w:tblGrid>
      <w:tr w:rsidR="00C07F9E" w:rsidRPr="00E210BD" w:rsidTr="006863E6">
        <w:tc>
          <w:tcPr>
            <w:tcW w:w="3409" w:type="dxa"/>
            <w:vMerge w:val="restart"/>
            <w:tcBorders>
              <w:bottom w:val="nil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81" w:type="dxa"/>
            <w:gridSpan w:val="2"/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93" w:type="dxa"/>
            <w:gridSpan w:val="2"/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C07F9E" w:rsidRPr="00E210BD" w:rsidTr="006863E6">
        <w:tc>
          <w:tcPr>
            <w:tcW w:w="3409" w:type="dxa"/>
            <w:vMerge/>
            <w:tcBorders>
              <w:bottom w:val="nil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BA4FDD" w:rsidRPr="00E210BD" w:rsidTr="006863E6">
        <w:trPr>
          <w:trHeight w:val="1449"/>
        </w:trPr>
        <w:tc>
          <w:tcPr>
            <w:tcW w:w="3409" w:type="dxa"/>
            <w:tcBorders>
              <w:top w:val="nil"/>
              <w:bottom w:val="nil"/>
            </w:tcBorders>
          </w:tcPr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1. รายได้แผ่นดิน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เงินกู้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เงินนอกงบประมาณ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639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865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15</w:t>
            </w: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652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</w:rPr>
              <w:t>552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</w:rPr>
              <w:t>56</w:t>
            </w:r>
          </w:p>
          <w:p w:rsidR="00BA4FDD" w:rsidRPr="0023313E" w:rsidRDefault="007B5149" w:rsidP="0049421C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943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294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53B5">
              <w:rPr>
                <w:rFonts w:ascii="TH SarabunPSK" w:hAnsi="TH SarabunPSK" w:cs="TH SarabunPSK"/>
                <w:sz w:val="28"/>
                <w:cs/>
              </w:rPr>
              <w:t>88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502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531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09</w:t>
            </w: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734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703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39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294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210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89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334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06</w:t>
            </w: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82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150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350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916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01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49</w:t>
            </w: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27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380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235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712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59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531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445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37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295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732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78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53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1069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รายจ่ายเงินในงบประมาณ</w:t>
            </w:r>
          </w:p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รายจ่ายเงินนอกงบประมาณ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87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529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05</w:t>
            </w: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3313E">
              <w:rPr>
                <w:rFonts w:ascii="TH SarabunPSK" w:hAnsi="TH SarabunPSK" w:cs="TH SarabunPSK"/>
                <w:sz w:val="28"/>
              </w:rPr>
              <w:t>,3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28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910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889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127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:rsidR="006863E6" w:rsidRPr="0023313E" w:rsidRDefault="004053B5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625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675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598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63E6" w:rsidRPr="0023313E" w:rsidRDefault="006863E6" w:rsidP="004053B5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296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4053B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16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(0.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353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4,</w:t>
            </w:r>
            <w:r w:rsidR="004053B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439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514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803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363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417"/>
        </w:trPr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รายรับสูงกว่ารายจ่าย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35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272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84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16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642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630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53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111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95</w:t>
            </w:r>
          </w:p>
        </w:tc>
      </w:tr>
    </w:tbl>
    <w:p w:rsidR="00D6651A" w:rsidRDefault="00D6651A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A24BF" w:rsidRPr="00E210BD" w:rsidRDefault="00D6651A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24BF" w:rsidRPr="00E210BD">
        <w:rPr>
          <w:rFonts w:ascii="TH SarabunPSK" w:hAnsi="TH SarabunPSK" w:cs="TH SarabunPSK"/>
          <w:sz w:val="32"/>
          <w:szCs w:val="32"/>
          <w:cs/>
        </w:rPr>
        <w:tab/>
      </w:r>
      <w:r w:rsidR="001A24BF" w:rsidRPr="00E210BD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="001A24BF" w:rsidRPr="00E210B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1A24BF" w:rsidRPr="00E210BD" w:rsidRDefault="001A24BF" w:rsidP="00D6651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รัฐบาลมีรายได้ประจำปีงบประมาณ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เพิ่มขึ้นจากปีงบประมาณ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มีค่าใช้จ่ายประจำปีงบประมาณ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>0.0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และผลการดำเนินงานทางการเงินประจำปีงบประมาณ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รัฐบาลมีรายได้ต่ำกว่าค่าใช้จ่าย แต่ลดลงจากปีงบประมาณ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E210BD">
        <w:rPr>
          <w:rFonts w:ascii="TH SarabunPSK" w:hAnsi="TH SarabunPSK" w:cs="TH SarabunPSK"/>
          <w:sz w:val="32"/>
          <w:szCs w:val="32"/>
        </w:rPr>
        <w:t>35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78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อย่างไรก็ดี รัฐบาลยังสามารถดำเนินงานอย่างต่อเนื่องได้</w:t>
      </w:r>
      <w:r w:rsidR="00D665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(</w:t>
      </w:r>
      <w:r w:rsidRPr="00E210BD">
        <w:rPr>
          <w:rFonts w:ascii="TH SarabunPSK" w:hAnsi="TH SarabunPSK" w:cs="TH SarabunPSK"/>
          <w:sz w:val="32"/>
          <w:szCs w:val="32"/>
        </w:rPr>
        <w:t>Going Concern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) เนื่องจากมีแนวโน้มในการจัดเก็บรายได้ที่เพิ่มสูงขึ้นภายหลังจากสถานการณ์การแพร่ระบาดของโรคติดเชื้อไวรัสโคโรนา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>0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คลี่คลาย มีการผลักดันการเพิ่มประสิทธิภาพการจัดเก็บรายได้อย่างต่อเนื่องด้วยการนำระบบอิเล็กทรอนิกส์มาใช้ ดำเนินการบริหารเงินคงคลังให้มีเพียงพอต่อการเบิกจ่ายเงินของหน่วยงานของรัฐในแต่ละช่วงเวลา บริหารที่ราชพัสดุให้เกิดความคุ้มค่า เหมาะสมกับศักยภาพที่ดินให้เกิดประโยชน์สูงสุด บริหารเงินลงทุนโดยมีการประเมินผลการดำเนินงานของรัฐวิสาหกิจอย่างต่อเนื่องโดยให้ความสำคัญกับการพิจารณาการลงทุนให้ครอบคลุมจากทุกแหล่งเงิน และบริหารหนี้สินโดยการวางแผนการชำระหนี้ให้เหมาะสมกับการบริหารสภาพคล่องหรือฐานะการคลังของแผ</w:t>
      </w:r>
      <w:r w:rsidR="004053B5">
        <w:rPr>
          <w:rFonts w:ascii="TH SarabunPSK" w:hAnsi="TH SarabunPSK" w:cs="TH SarabunPSK"/>
          <w:sz w:val="32"/>
          <w:szCs w:val="32"/>
          <w:cs/>
        </w:rPr>
        <w:t>่นดิ</w:t>
      </w:r>
      <w:r w:rsidRPr="00E210BD">
        <w:rPr>
          <w:rFonts w:ascii="TH SarabunPSK" w:hAnsi="TH SarabunPSK" w:cs="TH SarabunPSK"/>
          <w:sz w:val="32"/>
          <w:szCs w:val="32"/>
          <w:cs/>
        </w:rPr>
        <w:t>นโดยไม่เป็นภาระการคลังในระยะยาว</w:t>
      </w:r>
    </w:p>
    <w:p w:rsidR="0011031B" w:rsidRPr="00E210BD" w:rsidRDefault="0011031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10BD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2565 ของสำนักงานคณะกรรมการนโยบายเขตพัฒนาพิเศษภาคตะวันออกและผลการสอบบัญชี สำหรับปีสิ้นสุดวันที่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E210BD">
        <w:rPr>
          <w:rFonts w:ascii="TH SarabunPSK" w:hAnsi="TH SarabunPSK" w:cs="TH SarabunPSK"/>
          <w:sz w:val="32"/>
          <w:szCs w:val="32"/>
          <w:cs/>
        </w:rPr>
        <w:t>รายงานประจำปี 2565 ของสำนักงานคณะกรรมการนโยบายเขตพัฒนาพิเศษ</w:t>
      </w:r>
      <w:r w:rsidR="00D6651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ภาคตะวันออก ตามที่สำนักงานคณะกรรมการนโยบายเขตพัฒนาพิเศษภาคตะวันออกเสนอ และให้เสนอ</w:t>
      </w:r>
      <w:r w:rsidR="00D665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สภาผู้แทนราษฎรและวุฒิสภาเพื่อทราบต่อไป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E210BD">
        <w:rPr>
          <w:rFonts w:ascii="TH SarabunPSK" w:hAnsi="TH SarabunPSK" w:cs="TH SarabunPSK"/>
          <w:sz w:val="32"/>
          <w:szCs w:val="32"/>
          <w:cs/>
        </w:rPr>
        <w:t>ผลการสอบบัญชี สำหรับปีสิ้นสุดวันที่ 30 กันยายน 2565 ตามที่สำนักงานคณะกรรมการนโยบายเขตพัฒนาพิเศษภาคตะวันออกเสนอ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รายงานประจำปี 2565 ของ สกพอ.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  สกพอ. ได้จัดทำรายงานประจำปี 2565 โดยมีผลงานที่สำคัญ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04"/>
      </w:tblGrid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โครงการพัฒนาโครงสร้างพื้นฐานที่สำคัญ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 Project List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โดยมีโครงการที่คณะรัฐมนตรีอนุมัติหลักการแล้ว รวม 5 โครงการ ได้แก่ </w:t>
            </w:r>
            <w:r w:rsidR="0083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โครงการรถไฟความเร็วสูงเชื่อม 3 สนามบิน </w:t>
            </w:r>
            <w:r w:rsidR="0083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โครงการพัฒนาสนามบินอู่ตะเภาและเมืองการบินภาคตะวันออก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โครงการพัฒนาท่าเรือแหลมฉบังระยะที่ 3 ท่าเทียบเรือ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โครงการพัฒนาท่าเรืออุตสาหกรรมมาบตาพุดระยะที่ 3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="008344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โครงการศูนย์ซ่อมบำรุงอากาศยานอู่ตะเภา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Maintenance Repair and Overhaul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MRO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โครงการรถไฟความเร็วสูงเชื่อม 3 สนามบิน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มีการส่งมอบพื้นที่โครงการให้เอกชนตามคู่สัญญาดำเนินการ มีการออกแบบและก่อสร้างโครงการพื้นฐานเกี่ยวกับโครงการก่อนวันที่เริ่มต้นนับระยะเวลาโครงการ (เช่น งานก่อสร้างถนนและสะพานชั่วคราว งานก่อสร้างสำนักงานสนามและบ้านพักคนงาน) และการช่วยเหลือและเยียวยาผู้ที่ได้รับผลกระทบจากการพัฒนาโครงการ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โครงการพัฒนาสนามบินอู่ตะเภาและเมืองการบินภาคตะวันออก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มีการก่อสร้างทางวิ่งและทางขับที่ 2 และทางขับที่เกี่ยวข้อง มีการพัฒนาระบบสาธารณูปโภคในพื้นที่โครงการ (เช่น ระบบไฟฟ้าและน้ำเย็น ระบบประปาและบำบัดน้ำเสีย และระบบน้ำมันเชื้อเพลิงอากาศยาน) และมีการชดเชยและเยียวยาผู้ที่ได้รับผลกระทบจากการพัฒนาโครงการ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โครงการพัฒนาท่าเรือแหลมฉบังระยะที่ 3 ท่าเทียบเรือ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มีการถมทะเล มีการ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สร้างอาคารท่าเทียบเรือชายฝั่งและมีการชดเชยและเยียวยาผู้ได้รับผลกระทบจากการพัฒนาโครงการ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โครงการพัฒนาท่าเรืออุตสาหกรรมมาบตาพุด ระยะที่ 3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มีการก่อสร้างเขื่อนกันทรายในงานถมทะเล และมีการชดเชยและเยียวยาผู้ที่ได้รับผลกระทบจากการพัฒนาโครงการ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โครงการศูนย์ซ่อมบำรุงอากาศยานอู่ตะเภา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MRO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มีการชะลอโครงการ เนื่องจาก การบินไทยอยู่ระหว่างการฟื้นฟูกิจการ และมีสถานะเป็นเอกชนจึงไม่สามารถดำเนินโครงการร่วมทุนระหว่างรัฐและเอกชนได้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เป็นพื้นที่ดึงดูดการลงทุนอุตสาหกรรมเป้าหมายภายใน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 2 รูปแบบ ได้แก่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เขตส่งเสริมเศรษฐกิจพิเศษเพื่อกิจการพิเศษ และ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เขตส่งเสริมเศรษฐกิจพิเศษเพื่อกิจการอุตสาหกรรม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เขตส่งเสริมเศรษฐกิจพิเศษเพื่อกิจการพิเศษ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จัดตั้งไปแล้ว 7 เขต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รวมพื้นที่ประมาณ 18,314 ไร่ เช่น เขตส่งเสริมเมืองการบินภาคตะวันออก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EECa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เขตส่งเสริมรถไฟความเร็วสูงเชื่อม 3 สนามบิน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EECh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เขตส่งเสริมอุตสาหกรรมและนวัตกรรมดิจิทัล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EECd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และเขตส่งเสริมนวัตกรรมระเบียงเศรษฐกิจพิเศษภาคตะวันออก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EECi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เขตส่งเสริมเศรษฐกิจพิเศษเพื่อกิจการอุตสาหกรรม มีการประกาศจัดตั้งแล้ว รวม 28 เขต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รวมพื้นที่ประมาณ 96,892.42 ไร่ เช่น นิคมอุตสาหกรรมเหมราชอีสเทิร์น ซีบอร์ด 4 จังหวัดระยอง นิคมอุตสาหกรรม ทีเอฟ ดี 2 นิคมอุตสาหกรรมเอเซีย คลีน นิคมอุตสาหกรรมโรจนะแหลมฉบัง และนิคมอุตสาหกรรมโรจนะหนองใหญ่ ทั้งนี้ นิคมอุตสาหกรรมทุกแห่งได้ผ่านการประเมินผลกระทบสิ่งแวดล้อมเรียบร้อยแล้ว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แผนผังการพัฒนาพื้นที่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โดยแบ่งประเภทการใช้ที่ดินออกเป็น 4 กลุ่มตามการใช้ประโยชน์ที่ดิน ได้แก่ 1) พื้นที่พัฒนาเมืองและชุมชน 2) พื้นที่พัฒนาอุตสาหกรรม 3) พื้นที่พัฒนาเกษตรกรรม และ 4) พื้นที่อนุรักษ์ทรัพยากรธรรมชาติและสิ่งแวดล้อม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กรมโยธาธิการและผังเมือง อยู่ระหว่างการจัดทำผังเมืองรวม ระดับอำเภอ รวม 30 อำเภอ 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โดยคาดว่าจะประกาศบังคับใช้ได้ทั้งหมดภายในปี 2567 โดยมีความก้าวหน้า เช่น มีการสำรวจ กำหนดเขตผังเมืองและวิเคราะห์จัดทำร่างผังเมือง จำนวน 17 ผัง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ความก้าวหน้าโครงการ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EECi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EECd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ดำเนินการโดยสำนักงานพัฒนาวิทยาศาสตร์และเทคโนโลยีแห่งชาติ เพื่อเป็นพื้นที่ต้นแบบการนำนวัตกรรมผลักดันให้เกิดอุตสาหกรรมใหม่ที่ใช้เทคโนโลยีขั้นสูง และเพื่อเป็นศูนย์กลางการพัฒนาด้านดิจิทัลและเป็นเมืองอัจฉริยะต้นแบบ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EECi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มีความก้าวหน้าในการพัฒนาพื้นที่ของ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EECi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มีการก่อสร้างกลุ่มอาคาร เพื่อรองรับการพัฒนานวัตกรรมในรูปแบบต่าง ๆ ซึ่งปัจจุบันอยู่ระหว่างการตกแต่งพื้นที่ส่วนกลางและปรับภูมิทัศน์โดยรอบ ติดตั้งแพลตฟอร์มไอโอทีและระบบวิเคราะห์ข้อมูลอุตสาหกรรมในโรงงานอุตสาหกรรมนำร่อง และจัดตั้งห้องปฏิบัติการวิจัยทดสอบประสิทธิภาพมอเตอร์ไฟฟ้าที่ผ่านการรับรองมาตรฐาน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17025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EECd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มีการจัดโซน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Zoning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เพิ่มพื้นที่สำหรับกิจกรรมเชิงพาณิชย์และพิจารณาการวางรูปแบบแผนผังการดำเนินการในพื้นที่เป็นระยะ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Phasing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เพื่อสร้างจุดสมดุลระหว่างความจำเป็นในการใช้พื้นที่และการพัฒนา โดยแบ่ง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พื้นที่โครงการออกเป็น 5 ระยะ ได้แก่ ระยะที่ 0 ดำเนินการร่วมกับหน่วยงานที่อยู่ในพื้นที่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EECd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 พัฒนาโครงสร้างพื้นฐานและสาธารณูปโภค ระยะที่ 2 พัฒนาพื้นที่เพื่อการดำเนินการด้านธุรกิจเชิงพาณิชย์ ระยะที่ 3 พัฒนาพื้นที่เพื่อกลุ่มอุตสาหกรรมดิจิทัลและอุตสาหกรรมที่เกี่ยวข้อง และระยะที่ 4 พัฒนาพื้นที่เพื่อธุรกิจเชิงพาณิชย์เพิ่มเติม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การให้บริการศูนย์บริการเบ็ดเสร็จครบวงจร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OSS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เป็นการให้บริการแบบเบ็ดเสร็จในพื้นที่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 44 งานบริการผ่านระบบอิเล็กทรอนิกส์ เช่น การขอขยายกิจการ และการต่ออายุใบอนุญาต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ศูนย์บริการเบ็ดเสร็จครบวงจร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OSS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มีความก้าวหน้าในการดำเนินงาน เช่น มีการดำเนินงานร่วมกับกรมส่งเสริมการปกครองส่วนท้องถิ่นกำหนดให้หน่วยงานในพื้นที่เป็นพื้นที่นำร่องในการให้บริการภาครัฐแบบเบ็ดเสร็จครบวงจร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Digital Government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และร่วมกันพัฒนางานให้บริการที่เกี่ยวเนื่องในรูปแบบ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เพื่ออำนวยความสะดวกให้แก่นักลงทุน ผู้ประกอบการและประชาชนในพื้นที่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การชักจูงการลงทุนในอุตสาหกรรมเป้าหมายพิเศษ เพื่อสร้างความร่วมมือกับหน่วยงานต่างประเทศ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มีการปรับแผนการชักจูงการลงทุนใหม่ โดยมุ่งเน้น 4 กลุ่มอุตสาหกรรม และ 1 แนวคิด ได้แก่ อุตสาหกรรมหุ่นยนต์ อุตสาหกรรมการแพทย์ครบวงจร อุตสาหกรรมการบินและโลจิสติกส์ อุตสาหกรรมดิจิทัล และแนวคิดเศรษฐกิจหมุนเวียนและเศรษฐกิจสีเขียว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Circular Economy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มีการดำเนินกิจกรรมเพื่อชักจูงนักลงทุนเป้าหมายจากประเทศต่าง ๆ ให้เข้ามาลงทุนจำนวน 19 ประเทศทั่วโลก และ 1 องค์กรระหว่างประเทศ เช่น สหราชอาณจักร สาธารณรัฐฝรั่งเศส ญี่ปุ่น สิงคโปร์ และหอการค้าร่วมต่างประเทศในประเทศไทย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JFCCT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การประชาสัมพันธ์และการสร้างการมีส่วนร่วมในพื้นที่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มีการสร้างความเข้าใจให้แก่ประชาชนพื้นที่ในด้านนโยบาย และความก้าวหน้าของการพัฒนาพื้นที่ รวมทั้งขยายผลการสื่อสารผ่านกลุ่มเครือข่ายสำคัญในรูปแบบต่าง ๆ ผ่านกิจกรรม เช่น การจัดสัมมนา การจัดค่ายพัฒนาศักยภาพเยาวชน และการจัดค่ายฝึกอบรมในด้านต่าง ๆ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แผนงานบูรณาการ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มีการดำเนินงานร่วมกับสำนักงานสภาพัฒนาการเศรษฐกิจและสังคมแห่งชาติ ขับเคลื่อนแผนบูรณการฯ โดยให้ความสำคัญกับการสานต่อโครงการร่วมทุนภาครัฐและเอกชน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 Project List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พัฒนากำลังคนให้ตรงกับความต้องการของอุตสาหกรรมยกระดับคุณภาพระบบสาธารณสุขให้ได้มาตรฐานสากล เพียงพอต่อการให้บริการควบคู่ไปกับการขยายตัวของเมืองและการพัฒนาเมืองน่าอยู่อัจฉริยะ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ความก้าวหน้าในการดำเนินงานตามแผนและมาตรการต่าง ๆ ที่เกี่ยวข้องกับการพัฒนา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ร่วมลงนาม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ร่วมกับภาคเอกชนเพื่อพัฒนาทักษะบุคลากรเพื่อส่งเสริมประยุกต์ใช้เทคโนโลยีดิจิทัล และ5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G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แก่ภาคอุตสาหกรรมในพื้นที่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ร่วมกับสำนักงานปฏิรูปที่ดินเพื่อเกษตรกรรม และมหาวิทยาลัยบูรพาจัดทำโครงการสนับสนุนพัฒนายาจากสาร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สกัดพืชสมุนไพรที่ได้รับการส่งเสริมการปลูกในพื้นที่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เช่น ฟ้าทะลายโจร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คณะกรรมการทรัพยากรน้ำแห่งชาติ ได้เห็นชอบแผนการพัฒนาแหล่งน้ำรองรับ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ปี 2563 -2580 ประกอบด้วย 38 โครงการ ซึ่งจะทำให้มีความเพียงพอต่อความต้องการใช้น้ำถึงปี 2580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ร่วมกับเมืองพัทยาขับเคลื่อนโครงการพัฒนาพื้นที่ตลาดลานโพธิ์นาเกลือเป็นโครงการนำร่องตามแนวทาง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NEO PATTAYA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ภายใต้แนวคิด “พัทยาโฉมใหม่ใส่ใจไม่ทิ้งกัน” เพื่อเป็นต้นแบบอุตสาหกรรมการท่องเที่ยวกลุ่มรายได้ดีและการท่องเที่ยวเชิงสุขภาพ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10.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จัดตั้งขึ้นตามพระราชบัญญัติ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2561 เพื่อเป็นกองทุนสนับสนุนพัฒนาพื้นที่ ชุมชน และประชาชนที่อยู่ภายในหรือที่ได้รับผลกระทบจากการพัฒนา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มีการดำเนินงานที่สำคัญ เช่น โครงการบัณฑิตอาสาต้นแบบ โครงการยกระดับการผลิตทุเรียนพรีเมี่ยมด้วยนวัตกรรมอย่างยั่งยืนและโครงการหลักสูตรวุฒิบัตรการพัฒนาความสามารถผู้บริหารองค์กรปกครองส่วนท้องถิ่น โดยมีการจัดอบรมไปแล้ว 2 รุ่น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ระเบียบ/ประกาศที่เกี่ยวข้องกับการพัฒนา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คณะอนุกรรมการด้านกฎหมายได้พิจารณากลั่นกรองความเห็นเกี่ยวกับร่างกฎ ระเบียบ ข้อบังคับ ประกาศ หรือคำสั่งที่เกี่ยวข้องกับการพัฒนา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แล้วเสร็จและมีผลบังคับใช้แล้ว รวม 10 ฉบับ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ผลการสอบบัญชี สำหรับปีสิ้นสุดวันที่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งบแสดงฐานะการเงิน ณ 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086"/>
      </w:tblGrid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859.02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957.74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 (เงินสดและรายการเทียบเท่าเงินสด ลูกหนี้ระยะสั้น วัสดุคงเหลือ และสินทรัพย์หมุนเวียนอื่น)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744.29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873.97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สินทรัพย์ไม่หมุนเวียน (ส่วนปรับปรุงอาคารและอุปกรณ์และสินทรัพย์ไม่มีตัวตน)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114.72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83.77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75.63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66.11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หนี้สินหมุนเวียน (เจ้าหนี้ระยะสั้น - บุคคลภายนอก ค่าใช้จ่ายค้างจ่าย เงินประกันสัญญาและเงินประกันผลงาน และหนี้สินหมุนเวียนอื่น)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61.03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46.95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หนี้สิ้นไม่หมุนเวียน (ผลประโยชน์พนักงานและเงินชดเชยการเลิกจ้าง)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14.60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19.16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สินทรัพย์สุทธิ/ส่วนทุน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783.38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891.63</w:t>
            </w:r>
          </w:p>
        </w:tc>
      </w:tr>
    </w:tbl>
    <w:p w:rsid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210BD">
        <w:rPr>
          <w:rFonts w:ascii="TH SarabunPSK" w:hAnsi="TH SarabunPSK" w:cs="TH SarabunPSK"/>
          <w:sz w:val="32"/>
          <w:szCs w:val="32"/>
          <w:cs/>
        </w:rPr>
        <w:t>2.2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งบแสดงผลการดำเนินงานทางการเงิน สำหรับปีสิ้นสุดวันที่ 30 กันยายน 2565</w:t>
      </w:r>
    </w:p>
    <w:p w:rsidR="00E210BD" w:rsidRPr="00E210BD" w:rsidRDefault="00BA1054" w:rsidP="00E210BD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>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086"/>
      </w:tblGrid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รายได้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(เงินงบประมาณ การดำเนินงาน เงินกู้ตาม พ.ร.ก. กู้เงินเพื่อแก้ไขปัญหาจากการระบาดไวรัส 2019 และรายได้อื่น ๆ)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493.96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666.48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ค่าใช้จ่าย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(บุคลากร การดำเนินงาน เงินงบประมาณ - เงินกู้ตาม พ.ร.ก. กู้เงินเพื่อแก้ไขปัญหาจากการระบาดไวรัสโคโรนา 2019 และค่าเสื่อมราคาและค่าตัดจำหน่าย)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602.21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647.26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(108.24)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19.22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_____________________</w:t>
      </w:r>
    </w:p>
    <w:p w:rsidR="00D6651A" w:rsidRDefault="00E210BD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ค่าใช้จ่ายที่สูงกว่ารายได้ เป็นภาระผูกพันที่สะสมมาจากการเบิกจ่ายเงินงบประมาณที่ไม่ตรงตามปีงบประมาณ เช่น ใบสั่งซื้อ ใบสั่งจ้าง และสัญญาต่าง ๆ อย่างไรก็ตาม ในภาพรวม สกพอ. มีการเร่งรัดผลการดำเนินงานได้ดีขึ้น</w:t>
      </w:r>
      <w:r w:rsidR="00D665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651A" w:rsidRDefault="00D6651A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10BD" w:rsidRPr="00E210BD" w:rsidRDefault="00BA1054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รายงานประจำปีงบประมาณ พ.ศ. 2565 กองทุนยุติธรรม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คณะรัฐมนตรีรับทราบตามที่กระทรวงยุติธรรม (ยธ.) เสนอรายงานประจำปีงบประมาณ พ.ศ. 2565 กองทุนยุติธรรม (กองทุนฯ) (เป็นการดำเนินการตามพระราชบัญญัติกองทุนยุติธรรม พ.ศ. 2558 มาตรา 37 ที่บัญญัติให้กองทุนฯ จัดทำรายงานประจำปีเสนอต่อคณะรัฐมนตรีเพื่อทราบภายในหนึ่งร้อยแปดสิบวันนับแต่วันสิ้นปีบัญชี) สาระสำคัญสรุปได้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ความสำเร็จของการดำเนินงานตามมาตรฐานระยะเวลางานบริการของกองทุนฯ </w:t>
      </w:r>
      <w:r w:rsidRPr="00E210BD">
        <w:rPr>
          <w:rFonts w:ascii="TH SarabunPSK" w:hAnsi="TH SarabunPSK" w:cs="TH SarabunPSK"/>
          <w:sz w:val="32"/>
          <w:szCs w:val="32"/>
          <w:cs/>
        </w:rPr>
        <w:t>มีประชาชนเข้ารับบริการของกองทุนฯ จำนวน 4,463 ราย สามารถดำเนินการแล้วเสร็จทั้งสิ้น 4,207 ราย และได้ดำเนินการแล้วเสร็จภายในมาตรฐานระยะเวลางานบริการ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จำนวน 4,047 ราย คิดเป็นร้อยละ 96.20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ความสำเร็จของการอนุมัติวงเงินช่วยเหลือประชาชน </w:t>
      </w:r>
      <w:r w:rsidRPr="00E210BD">
        <w:rPr>
          <w:rFonts w:ascii="TH SarabunPSK" w:hAnsi="TH SarabunPSK" w:cs="TH SarabunPSK"/>
          <w:sz w:val="32"/>
          <w:szCs w:val="32"/>
          <w:cs/>
        </w:rPr>
        <w:t>กองทุนฯ ให้ความช่วยเหลือประชาชน จำนวน 2,548 ราย เป็นเงินจำนวน 293.41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28"/>
      </w:tblGrid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 (งาน)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1) การช่วยเหลือประชาชนในการดำเนินคดี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1,814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33.32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2) การขอปล่อยชั่วคราวผู้ต้องหาหรือจำเลย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612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151.01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3) การช่วยเหลือผู้ถูกละเมิดสิทธิมนุษยชน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4) การให้ความรู้ทางกฎหมายแก่ประชาชน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12.08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2,548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196.73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ผลการดำเนินงานที่สำคัญตามภารกิจของกองทุนฯ </w:t>
      </w:r>
      <w:r w:rsidRPr="00E210BD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การช่วยเหลือประชาชนในการดำเนินคดี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 3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ยายพิการร้องกองทุนฯให้ช่วยเปิดทางเข้าออกไปหาหมอ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ให้ความช่วยเหลือชาวบ้านรายหนึ่ง เนื่องจากถูกปิดทางเข้า - ออก ทำให้ไม่สามารถสัญจรได้ ซึ่งที่ดินที่ได้พักอาศัยอยู่เป็นที่ดินตาบอดตามประมวลกฎหมายแพ่งและพาณิชย์ มาตรา 1349 คณะอนุกรรมการให้ความช่วยเหลือประจำจังหวัด จึงให้ทนายความกองทุนฯ ประจำจังหวัดปราจีนบุรียื่นคำร้องต่อศาลจังหวัดปราจีนบุรี กรณีขอเปิดทางจำเป็น ซึ่งศาลจังหวัดปราจีนบุรีมีคำพิพากษาตามยอม ตามสัญญาประนีประนอมยอมความว่าจำเลยได้ตกลงยินยอมให้โจทก์เดินผ่านที่ดิน โดยเป็นทางเดินกว้างไม่น้อยกว่า 3 เมตร ให้ใช้เป็นทางเดินร่วมกันเป็นทางออกสู่ถนนสาธารณะ และไม่เป็นสิทธิของบุคคลใดบุคคลหนึ่ง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ชาวบ้านถูกโกงเงินจากคนในกลุ่มสะสมทรัพย์บ้านคลองคราม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ให้ความช่วยเหลือค่าทนายความแก่ชาวบ้านอำเภอดอนสัก จังหวัดสุราษฎร์ธานี รวม 45 ราย จำนวน 79,000 บาท ในการฟ้องเรียกเงินคืนจากคณะกรรมการกลุ่มสะสมทรัพย์บ้านคลองคราม กรณีสมาชิกกลุ่มสะสมทรัพย์บ้านคลองครามไม่ได้รับเงินปันผลและไม่สามารถถอนเงินออมได้ เนื่องจากมีคณะกรรมการฯ ไม่นำเงินฝากของสมาชิกฯ ฝากเข้าบัญชีกลุ่มสะสมทรัพย์บ้านคลองครามและมีคณะกรรมการฯ ได้ปลอมแปลงสมุดประจำตัวสมาชิกแล้วนำไปใช้ในการกู้เงินของกลุ่มฯ จึงเป็นสาเหตุทำให้กลุ่มออมทรัพย์ฯ ไม่สามารถดำเนินกิจการต่อไปได้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509D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ชาวบ้านถูกวิสาหกิจชุมชนกลุ่มผ้าทอมัดหมี่ศรีเพชร     เอาเปรียบเกือบสูญบ้านและที่ดิน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ให้ความช่วยเหลือเงินกองทุนฯ กับชาวบ้านรายหนึ่ง อำเภอศรีเทพ จังหวัดเพชรบูรณ์ เพื่อทำการฟ้องไล่เบี้ยกับประธานและกรรมการวิสาหกิจชุมชนกลุ่มผ้าทอดมัดหมี่ศรีเพชร กรณีวิสาหกิจชุมชนกลุ่มผ้าทอมัดหมี่ศรีเพชรได้กู้ยืมเงินธนาคารออมสินวงเงิน</w:t>
            </w:r>
            <w:r w:rsidR="00B940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bookmarkStart w:id="0" w:name="_GoBack"/>
            <w:bookmarkEnd w:id="0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ล้านบาท แต่ไม่สามารถชำระเงินภายในระยะเวลาที่กำหนดได้ ซึ่งต่อมาธนาคารออมสินได้ฟ้องวิสาหกิจชุมชนกลุ่มดังกล่าว และในชั้นบังคับคดีได้มีการประกาศขายที่ดินของกรรมการวิสาหกิจชุมชน ซึ่งที่ดินของชาวบ้านรายหนึ่งถูกประกาศขายทอดตลาดเพียงผู้เดียว ซึ่งเป็นการผิดให้สัตยาบันในสัญญาการปรับโครงสร้างหนี้กับธนาคารออมสิน เนื่องจากทุกคนเป็นผู้ค้ำประกันเงินกู้ยืม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การขอปล่อยชั่วคราวผู้ต้องหาหรือจำเลย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(จำนวน 2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509D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กรณีถูกกล่าวหาแทงสามีเสียชีวิต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อนุมัติคำขอรับความช่วยเหลือชาวบ้านรายหนึ่ง เพื่อเป็นหลักประกันในการปล่อยตัวชั่วคราวในศาลชั้นต้น จำนวน 500,000 บาท กรณีถูกฟ้องในข้าหาฆ่าผู้อื่นโดยเจตนา ทั้งนี้ ผู้ขอรับความช่วยเหลือมีพยานยืนยันสถานที่อยู่ได้อย่างชัดเจนและให้การปฏิเสธตลอดข้อกล่าวหา ประกอบกับผู้ขอรับความช่วยเหลือเป็นผู้มีรายได้น้อยและไม่มีความสามารถในการเข้าถึงกระบวนการยุติธรรมได้ด้วยตัวเอง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กรณีโดนสวมรอยใช้บัญชีม้าขายสินค้าออนไลน์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อนุมัติหลักประกันในการปล่อยตัวชั่วคราว แก่ผู้ขอรับความช่วยเหลือ กรณีความผิดฐานฉ้อโกงและนำเข้าสู่ระบบคอมพิวเตอร์ ซึ่งข้อมูลคอมพิวเตอร์ปลอมไม่ว่าจะทั้งหมดหรือบางส่วน หรือข้อมูลคอมพิวเตอร์อันเป็นเท็จ โดยประการที่น่าจะเกิดความเสียแก่ผู้อื่นหรือประชาชน วงเงินหลักประกันตัว 50,000 บาท เนื่องจากผู้ขอรับความช่วยเหลือ มีฐานะยากจนไม่มีความสามารถในการเข้าถึงกระบวนการยุติธรรม ประกอบกับผู้ร้องขอมีบุคคลรับรองความประพฤติไม่เคยมีประวัติการกระทำความผิด ไม่มีพฤติการณ์จะหลบหนี หรือไปก่อเหตุร้ายประการอื่น และมีเหตุอันน่าเชื่อถือว่า อาจมีบุคคลอื่นนำบัญชีธนาคารและบัตรกดเงินสดของผู้ร้องไปใช้ในการกระทำความผิด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การช่วยเหลือผู้ถูกละเมิดสิทธิมนุษยชน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(จำนวน 1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ผู้บริสุทธิ์ถูกละเมิดสิทธิมนุษยชนได้กองทุนฯ เข้าช่วยเหลือ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ค่าขาดประโยชน์ทำมาหาได้ในระหว่างที่ไม่สามารถประกอบการงานได้ตามปกติให้แก่ผู้ขอความช่วยเหลือ 71 วัน 58,575 บาท เนื่องจากมีคำพิพากษายกฟ้องคดีอาญา ในความผิดฐานร่วมกันฆ่าผู้อื่น และความผิดฐานร่วมกันพกพาอาวุธปืนฯ ไปในเมือง หมู่บ้าน หรือทางสาธารณะและความผิดตามพระราชบัญญัติอาวุธปืน เครื่องกระสุนปืน วัตถุระเบิด ดอกไม้เพลงิและสิ่งเทียมอาวุธปืน พ.ศ. 2490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ทั้งนี้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สำนักงานกองทุนฯ ได้พัฒนานวัตกรรม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ได้แก่ (1) การยื่นขอปล่อยตัวชั่วคราวผู้ต้องหาหรือจำเลยด้วยหนังสือรับรองแทนการชำระเงินกองทุนฯ ผ่านระบบอิเล็กทรอนิกส์ (2) การพัฒนาศักยภาพบุคลากรและผู้ปฏิบัติงานด้านกองทุนฯ ผ่านระบบ </w:t>
      </w:r>
      <w:r w:rsidRPr="00E210BD">
        <w:rPr>
          <w:rFonts w:ascii="TH SarabunPSK" w:hAnsi="TH SarabunPSK" w:cs="TH SarabunPSK"/>
          <w:sz w:val="32"/>
          <w:szCs w:val="32"/>
        </w:rPr>
        <w:t>Learning Management System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210BD">
        <w:rPr>
          <w:rFonts w:ascii="TH SarabunPSK" w:hAnsi="TH SarabunPSK" w:cs="TH SarabunPSK"/>
          <w:sz w:val="32"/>
          <w:szCs w:val="32"/>
        </w:rPr>
        <w:t xml:space="preserve">LMS </w:t>
      </w:r>
      <w:r w:rsidRPr="00E210BD">
        <w:rPr>
          <w:rFonts w:ascii="TH SarabunPSK" w:hAnsi="TH SarabunPSK" w:cs="TH SarabunPSK"/>
          <w:sz w:val="32"/>
          <w:szCs w:val="32"/>
          <w:cs/>
        </w:rPr>
        <w:t>และ (3) การเชื่อมบริการกองทุนฯ กับแอปพลิเคชันทางรัฐ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การประเมินผลการดำเนินงานทุนหมุนเวียน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การประเมินผลการดำเนินงานตามบันทึกข้อตกลงของกองทุนฯ ประจำปีบัญชี 2565 </w:t>
      </w:r>
      <w:r w:rsidRPr="00E210BD">
        <w:rPr>
          <w:rFonts w:ascii="TH SarabunPSK" w:hAnsi="TH SarabunPSK" w:cs="TH SarabunPSK"/>
          <w:sz w:val="32"/>
          <w:szCs w:val="32"/>
          <w:cs/>
        </w:rPr>
        <w:t>โดยมีการประเมินผล 6 ด้าน คะแนนเต็ม 5 คะแนน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5.0000 โดยกองทุนฯ มีค่าใช้จ่ายในการบริหารจัดการรวม 53.43 ล้านบาท และจำนวนเงินที่ช่วยเหลือประชาชนที่ได้รับอนุมัติ 196.73 ล้านบาท คิดเป็นอัตราส่วนค่าใช้จ่ายในการบริหารจัดการต่อวงเงินช่วยเหลือประชาชนที่ได้รับอนุมัติ เท่ากับร้อยละ 27.1 และมียอดหนี้ที่ต้องได้รับการชำระคืนทั้งส่วนกลางและส่วนภูมิภาค จำนวน 167 คำขอ เป็นเงินจำนวน 39.63 ล้านบาท โดยสามารถติดตามเงินคืนได้ จำนวน 36.05 ล้านบาท คิดเป็นร้อยละ 90.98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การสนองประโยชน์ต่อผู้มีส่วนได้ส่วนเสีย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4.3333 เมื่อเทียบกับปีบัญชี 2564 มีคะแนนลดลง 0.6667 คะแนน โดยระบบฐานข้อมูลสารสนเทศ เพื่อการประเมินผลลัพธ์และผลกระทบของกองทุนหมุนเวียนอยู่ระหว่างพัฒนาต่อยอดให้สามารถใช้ประโยชน์ได้มากยิ่งขึ้น และมีผล</w:t>
      </w: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>สำรวจความพึงพอใจของผู้ใช้บริการส่วนกลางอยู่ที่ร้อยละ 95.93 และความพึงพอใจของผู้ใช้บริการส่วนภูมิภาค อยู่ที่ร้อยละ 98.38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4.3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การปฏิบัติการ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(ร้อยละ 35) : ระดับคะแนนอยู่ในเกณฑ์ระดับ 4.9443 เมื่อเทียบกับปีบัญชี 2564 มีคะแนนเพิ่มขึ้นเท่ากับ 0.0460 คะแนน โดยในปีบัญชี 2565 กองทุนฯ มีการดำเนินงานตามมาตรฐานระยะเวลางานบริการของกองทุนฯ ได้แล้วเสร็จภายใน 21 วัน ส่วนกลางอยู่ที่ร้อยละ 98.00 และส่วนภูมิภาคอยู่ที่ร้อยละ 95.93 และสามารถดำเนินการขับเคลื่อนการให้บริการแบบ </w:t>
      </w:r>
      <w:r w:rsidRPr="00E210BD">
        <w:rPr>
          <w:rFonts w:ascii="TH SarabunPSK" w:hAnsi="TH SarabunPSK" w:cs="TH SarabunPSK"/>
          <w:sz w:val="32"/>
          <w:szCs w:val="32"/>
        </w:rPr>
        <w:t>e</w:t>
      </w:r>
      <w:r w:rsidRPr="00E210BD">
        <w:rPr>
          <w:rFonts w:ascii="TH SarabunPSK" w:hAnsi="TH SarabunPSK" w:cs="TH SarabunPSK"/>
          <w:sz w:val="32"/>
          <w:szCs w:val="32"/>
          <w:cs/>
        </w:rPr>
        <w:t>-</w:t>
      </w:r>
      <w:r w:rsidRPr="00E210BD">
        <w:rPr>
          <w:rFonts w:ascii="TH SarabunPSK" w:hAnsi="TH SarabunPSK" w:cs="TH SarabunPSK"/>
          <w:sz w:val="32"/>
          <w:szCs w:val="32"/>
        </w:rPr>
        <w:t xml:space="preserve">service </w:t>
      </w:r>
      <w:r w:rsidRPr="00E210BD">
        <w:rPr>
          <w:rFonts w:ascii="TH SarabunPSK" w:hAnsi="TH SarabunPSK" w:cs="TH SarabunPSK"/>
          <w:sz w:val="32"/>
          <w:szCs w:val="32"/>
          <w:cs/>
        </w:rPr>
        <w:t>ได้ตามเป้าหมายที่กำหนด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4.4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การบริหารจัดการทุนหมุนเวียน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4.9600 เมื่อเทียบกับปีบัญชี 2564 มีคะแนนเพิ่มขึ้นเท่ากับ 0.0433 คะแนน โดยในปีบัญชี 2565 กองทุนฯ สามารถเพิ่มประสิทธิภาพการดำเนินงานด้านการบริหารความเสี่ยงและการควบคุมภายในได้ตามเป้าหมาย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4.5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การปฏิบัติงานของคณะกรรมการบริหาร ผู้บริหารทุนหมุนเวียน พนักงาน และลูกจ้าง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10) : ระดับคะแนนอยู่ในเกณฑ์ระดับ 4.8000 เมื่อเทียบกับปีบัญชี 2564 มีคะแนนลดลง 0.2000 คะแนน ซึ่งคะแนนด้านนี้แปรผันตามความสามารถในการกำกับ ติดตาม การดำเนินงานกองทุนฯ ทั้งนี้ ตัวชี้วัดย่อยด้านการบริหารทรัพยากรบุคคลมีผลการประเมินดีขึ้น เนื่องจากกองทุนฯ สามารถขับเคลื่อนการพัฒนาศักยภาพบุคลากรได้ตามเป้าหมาย พร้อมมีนวัตกรรมในการดำเนินงานเป็นรูปธรรม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4.6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การดำเนินงานตามนโยบายรัฐ/กระทรวงการคลัง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10) : ระดับคะแนนอยู่ในเกณฑ์ระดับ 4.7925 เมื่อเทียบกับปีบัญชี 2564 มีคะแนนลดลงเท่ากับ 0.0634 คะแนน โดยกองทุนฯ มีการใช้จ่ายงบลงทุนเทียบกับแผนการใช้จ่ายงบลงทุนประจำปีคิดเป็นร้อยละ 100 และการใช้จ่ายภาพรวมเทียบกับแผนการใช้จ่ายภาพรวมประจำปีคิดเป็นร้อยละ 97.51 และสามารถดำเนินการจ่ายเงินและการรับเงินผ่านระบบอิเล็กทรอนิกส์ได้ครบถ้วนทุกกิจกรรม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ทั้งนี้ การประเมินผลการดำเนินงานตามบันทึกข้อตกลงของกองทุนฯ มีคะนนเฉลี่ยรวม 4.83 คะแนน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รายงานการเงินของกองทุนฯ ประจำปีงบประมาณ พ.ศ. 2565 </w:t>
      </w:r>
      <w:r w:rsidRPr="00E210BD">
        <w:rPr>
          <w:rFonts w:ascii="TH SarabunPSK" w:hAnsi="TH SarabunPSK" w:cs="TH SarabunPSK"/>
          <w:sz w:val="32"/>
          <w:szCs w:val="32"/>
          <w:cs/>
        </w:rPr>
        <w:t>สำหรับปีสิ้นสุดวันที่ 30 กันยายน 2565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5.1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งบแสดงฐานะการเงิน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802"/>
      </w:tblGrid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E210BD" w:rsidRPr="00E210BD" w:rsidTr="00457CAB">
        <w:tc>
          <w:tcPr>
            <w:tcW w:w="9594" w:type="dxa"/>
            <w:gridSpan w:val="4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สินทรัพย์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รวมสินทรัพย์หมุนเวียน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871.49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943.38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(71.89)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รวมสินทรัพย์ไม่หมุนเวียน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6.62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10.09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(3.47)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รวมสินทรัพย์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878.11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953.47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(75.36)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1.11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1.18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(0.07)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สินทรัพย์สุทธิ/ส่วนทุน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876.10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(76.19)</w:t>
            </w:r>
          </w:p>
        </w:tc>
      </w:tr>
    </w:tbl>
    <w:p w:rsidR="00E210BD" w:rsidRPr="00E210BD" w:rsidRDefault="00E210BD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5.2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งบแสดงผลการดำเนินงานทางการเงิน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802"/>
      </w:tblGrid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21.20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152.99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(131.79)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96.49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90.02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6.47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(75.29)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62.97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(138.26)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_____________________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ภายใน 21 วัน ซึ่งเป็นมาตรฐานระยะเวลาที่ได้รับความเห็นชอบจากสำนักงานคณะกรรมการพัฒนาระบบราชการและกรมบัญชีกลาง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กองทุนฯ ได้ออกหนังสือรับรองการชำระเงินในรูปแบบอิเล็กทรอนิกส์ 96.68 ล้านบาท รวมเป็นยอดการอนุมัติวงเงินช่วยเหลือตามภารกิจทั้งสิ้น 293.41 ล้านบาท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การจัดสรรงบประมาณของกองทุนฯ ในปีงบประมาณ พ.ศ. 2564 และปีงบประมาณ พ.ศ. 2565 มีความแตกต่างกัน เนื่องจากปีงบประมาณ พ.ศ. 2564 กองทุนฯ ได้รับการจัดสรรงบประมาณจากรัฐบาลและได้นำเงินจัดสรรไปใช้จ่ายตามภารกิจของกองทุนฯ โดยหนึ่งในภารกิจหลัก คือ นำเงินที่ได้รับการจัดสรรไปช่วยเหลือประชาชนด้านกระบวนการยุติธรรม แต่ในปีงบประมาณ พ.ศ. 2565 กองทุนฯ ได้รับการจัดสรรงบประมาณลดลงกองทุนฯ จึงออกมาตรการออกหนังสือรับรองการชำระเงินในรูปแบบอิเล็กทรอนิกส์แทนการเบิกจ่ายเงินสดเพื่อนำไปช่วยเหลือประชาชนด้านกระบวนการยุติธรรม ซึ่งการดำเนินการดังกล่าวเป็นการช่วยลดงบประมาณภาระค่าใช้จ่ายของภาครัฐ</w:t>
      </w:r>
    </w:p>
    <w:p w:rsid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ในภาพรวมต่อข้อเสนอแนะมาตรการการคุ้มครองสิทธิด้านสุขภาพและสิทธิเด็กในสถานการณ์การใช้กัญชาในประเทศไทย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รุปการพิจารณาในภาพรวมต่อข้อเสนอแนะมาตรการการคุ้มครองสิทธิด้านสุขภาพและสิทธิเด็กในสถานการณ์การใช้กัญชาในประเทศไทยของคณะกรรมการสิทธิมนุษยชนแห่งชาติ (กสม.) ตามที่กระทรวงสาธารณสุขเสนอ และแจ้งให้คณะกรรมการสิทธิมนุษยชนแห่งชาติทราบต่อไป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 กสม. ได้พิจารณาถึงผลกระทบของการประกาศให้กัญชา กัญชง ไม่เป็นยาเสพติดให้โทษต่อสิทธิด้านสุขภาพของประชาชนและสิทธิเด็ก นับแต่ที่ได้มีการประกาศใช้ประมวลกฎหมายยาเสพติดในปี 2564 และต่อมา สธ. ได้ออกประกาศ เรื่อง ระบุชื่อยาเสพติดให้โทษในประเภท 5 พ.ศ. 2565 ซึ่งมีผลใช้บังคับเมื่อวันที่ 9 มิถุนายน 2565 กสม. พบว่า มีรายงานการใช้กัญชานอกเหนือจากการใช้ทางการแพทย์ และรายงานผลกระทบต่อสุขภาพที่อาจเกี่ยวเนื่องจากการใช้กัญชาออกมาเป็นระยะ โดยเฉพาะในเด็กและเยาวชน สตรีตั้งครรภ์ บุคคลที่มีโรคประจำตัวบางโรค และผู้บริโภคทั่วไป รวมถึงผลกระทบในด้านอื่น ๆ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2. กสม. พิจารณาแล้วเห็นว่า ประกาศ สธ. ตามข้อ 1 ที่ทำให้ทุกส่วนของกัญชา กัญชง ไม่เป็นยาเสพติดให้โทษในประเภท 5 ยกเว้นสารสกัดที่มีสารเตตราไฮโดรแคนนาบินอล เกินร้อยละ 0.2 ซึ่งประชาชนสามารถเข้าถึงการบริโภคกัญชาได้อย่างแพร่หลาย และหน่วยงานที่เกี่ยวข้องได้กำหนดมาตรการและออกกฎหมายลำดับรองเพื่อคุ้มครองสุขภาพของประชาชนจากการใช้กัญชาหลายฉบับ แต่มาตรการส่วนใหญ่ไม่มีกลไกบังคับใช้ที่ชัดเจนและยังไม่ครอบคลุมเพียงพอที่จะสามารถป้องกันผลกระทบจากการใช้หรือการบริโภคกัญชาหรือผลิตภัณฑ์ที่มีส่วนผสมของกัญชาได้อย่างมีประสิทธิผล นอกจากนี้ จากการเฝ้าระวังและติดตามสถานการณ์การใช้กัญชา ปรากฏรายงานผลกระทบจากการใช้กัญชาอย่างต่อเนื่อง ซึ่งสะท้อนให้เห็นถึงการขาดความรู้ความเข้าใจและการได้รับทราบข้อมูลที่ถูกต้องเพียงพอต่อการใช้กัญชาอย่างปลอดภัย กสม. จึงเห็นว่า การประกาศให้กัญชา กัญชง ไม่เป็นยาเสพติดให้โทษ และการที่ประชาชนสามารถเข้าถึงและบริโภคกัญชา อาจก่อให้เกิดผลกระทบต่อสุขภาพของประชาชน ผู้บริโภค รวมถึงเด็กและเยาวชนประกอบกับมาตรการในการคุ้มครองสุขภาพยังไม่ครอบคลุมเพียงพอที่จะสามารถป้องกันผลกระทบจากการใช้หรือการบริโภคกัญชา กัญชง หรือผลิตภัณฑ์ที่ส่วนผสมของกัญชา กัญชง ได้อย่างมีประสิทธิผล ดังนั้น กสม. ได้มีข้อเสนอแนะมาตรการหรือแนวทางในการส่งเสริมและคุ้มครองสิทธิมนุษยชนรวมทั้งข้อเสนอแนะในการแก้ไขปรับปรุงกฎหมาย เพื่อให้สอดคล้องกับหลักสิทธิมนุษยชนต่อคณะรัฐมนตรีและหน่วยงานที่เกี่ยวข้อง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4. รองนายกรัฐมนตรี (นายวิษณุ เครืองาม) สั่งและปฏิบัติราชการแทนนายกรัฐมนตรี ได้มีคำสั่งมอบหมายให้ สธ. เป็นหน่วยงานหลักรับเรื่องนี้ไปพิจารณาร่วมกับกระทรวงการอุดมศึกษา วิทยาศาสตร์ วิจัยและนวัตกรรม (อว.) กระทรวงเกษตรและสหกรณ์ (กษ.) กระทรวงคมนาคม (คค.) กระทรวงมหาดไทย (มท.) กระทรวงยุติธรรม (ยธ.) กระทรวงศึกษาธิการ (ศธ.) สำนักงานตำรวจแห่งชาติ (ตช.) และหน่วยงานที่เกี่ยวข้องเพื่อศึกษาแนวทางและความเหมาะสมของข้อเสนอแนะดังกล่าว โดยให้ สธ. สรุปผลการพิจารณาหรือผลการดำเนินการดังกล่าวในภาพรวม แล้วส่งให้สำนักเลขาธิการคณะรัฐมนตรี (สลค.) ภายใน 30 วัน นับแต่วันที่ได้รับแจ้งคำสั่ง เพื่อนำเสนอคณะรัฐมนตรีต่อไป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สธ. รายงานว่า ได้ประชุมหารือร่วมกับ อว. กษ. คค. มท. ยธ. ศธ. และ ตช.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5 มกราคม 2566 ซึ่งมีผลการพิจารณาสรุปในภาพรวมได้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E3004A" w:rsidRPr="00E210BD" w:rsidTr="002F3AE6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E3004A" w:rsidRPr="00E210BD" w:rsidTr="002F3AE6">
        <w:tc>
          <w:tcPr>
            <w:tcW w:w="4508" w:type="dxa"/>
            <w:tcBorders>
              <w:top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ข้อเสนอแนะมาตรการหรือแนวทางในการส่งเสริมและคุ้มครองสิทธิมนุษยชน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คณะรัฐมนตรีควรมอบหมายให้ สธ. และหน่วยงานที่เกี่ยวข้องพิจารณาบังคับใช้มาตรการคุ้มครองสุขภาพตามประกาศต่าง ๆ เช่น การปกป้องคุ้มครองเด็ก เยาวชน สตรีตั้งครรภ์ หรืออยู่ระหว่างให้นมบุตร และบุคคลที่มีความเปราะบางด้านสุขภาพ การควบคุมการผลิตและจำหน่ายหรือใช้กัญชา กัญชง ที่ไม่ใช่ทางการแพทย์อย่างเคร่งครัด ทั้งปริมาณกัญชา กัญชงที่ใช้ในอาหาร เครื่องดื่ม และผลิตภัณฑ์ต่าง ๆ การควบคุมลักษณะบรรจุภัณฑ์และฉลากต้องไม่มีลักษณะจูงใจเด็กและเยาวชนในการบริโภค ผลิตภัณฑ์ต้องให้ข้อมูลส่วนผสมของกัญชา กัญชง การมีคำเตือนด้านสุขภาพ การควบคุมการขาย การวางจำหน่าย และการโฆษณา เป็นต้น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สธ. มีกฎหมายระดับพระราชบัญญัติ (พ.ร.บ.) และกฎหมายลำดับรองที่ออกมาเพื่อรองรับในส่วนของการปกป้องคุ้มครองเด็ก เยาวชน สตรีตั้งครรภ์ หรืออยู่ระหว่างให้นมบุตร การควบคุมการผลิตและการจำหน่ายผลิตภัณฑ์กัญชา กัญชง ที่ไม่ได้มีวัตถุประสงค์ทางการแพทย์โดยเฉพาะช่อดอกอย่างเคร่งครัดรวมถึงการควบคุมการใช้กัญชา กัญชงในอาหาร เครื่องดื่ม และผลิตภัณฑ์ต่าง ๆ การควบคุมลักษณะบรรจุภัณฑ์ และฉลากต้องไม่มีลักษณะจูงใจเด็กและเยาวชน ซึ่งในกฎหมายลำดับรองที่อาศัยอำนาจตาม พ.ร.บ. ดังกล่าวมีข้อกำหนดเกี่ยวกับการโฆษณา ข้อกำหนดฉลาก ข้อกำหนดบรรจุภัณฑ์เพื่อเตือนเด็กและเยาวชน รวมถึงกลุ่มเปราะบางโดยกฎหมายลำดับรองที่เกี่ยวข้อง ได้แก่ ประกาศ สธ. ประกาศกรมอนามัยและคำแนะนำของคณะกรรมการสาธารณสุข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คณะรัฐมนตรีควรมอบหมายให้ สธ. อว. ศธ. และหน่วยงานที่เกี่ยวข้อง พิจารณาดำเนินการพัฒนาองค์ความรู้ เครื่องมือ และสร้างความรู้ความเข้าใจเกี่ยวกับการใช้กัญชา กัญชง เพื่อลดผลกระทบต่อสุขภาพ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ได้พัฒนาองค์ความรู้ เครื่องมือ และสร้างความรู้ความเข้าใจให้กับบุคลากรโดยการจัดอบรม และผลิตสื่อความรู้ต่าง ๆ เพื่อให้เข้าถึงประชาชนทุกกลุ่มวัย โดยกรมต่าง ๆ 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อว. มีประกาศเรื่อง แนวทางปฏิบัติเกี่ยวกับกัญชาหรือกัญชงในสถาบันอุดมศึกษา ส่วนราชการ หน่วยงานในสังกัด และในกำกับของ อว. ลงวันที่ 18 มิถุนายน 2565 ในส่วนการพัฒนาองค์ความรู้ เครื่องมือสถาบันอุดมศึกษาได้ตระหนักและพัฒนาจัดหาเครื่องมือที่สามารถตรวจสารสำคัญกัญชา รวมถึงมีหลักสูตรการเรียนการสอนด้านกัญชา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ได้พัฒนาองค์ความรู้ เครื่องมือ และสร้างความรู้ความเข้าใจเกี่ยวกับการใช้กัญชา กัญชง เพื่อลดผลกระทบต่อสุขภาพ รวมทั้งได้ร่วมกับสำนักงาน ป.ป.ส. จัดทำคู่มือเพื่อใช้เป็นเครื่องมือให้กับครู อาจารย์สอนในรายวิชาสุขศึกษาและพลศึกษา สำหรับใช้ในการสอนในแต่ละระดับชั้น โดยในคู่มือมีเนื้อหาความรู้ที่เกี่ยวข้องกับโทษพิษภัยของกัญชา มีแผนการสอนของครูในการจัดกิจกรรมการเรียนรู้ยาเสพติดในแต่ละระดับและมีสื่อการสอนเพื่อใช้ประกอบการสอน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 คณะรัฐมนตรีควรมอบหมายให้ สธ. กษ. และหน่วยงานที่เกี่ยวข้องพิจารณาดำเนินการ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ให้มีมาตรการส่งเสริมและควบคุมคุณภาพการปลูกกัญชา กัญชง เพื่อความปลอดภัย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สำนักงาน ป.ป.ส. ยธ. อนุญาตให้ประชาชนปลูกกัญชาใช้เอง หากประชาชนขาดองค์ความรู้อาจส่งผลต่อสุขภาพโดยตรง จึงควรมีมาตรฐาน/องค์ความรู้ให้ประชาชนได้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ปฏิบัติตามได้ครอบคลุมทั้งในส่วนของผู้ประกอบการรายใหญ่ รวมถึงประชาชนที่ปลูกกัญชาเองด้วย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ได้พัฒนาการตรวจสารปนเปื้อนโลหะหนัก ยาฆ่าแมลง ปริมาณสารสำคัญ ทั้งในพืช ผลิตภัณฑ์ ยา อาหาร เครื่องสำอาง รวมถึงการตรวจหาสารในปัสสาวะและในเลือด และพัฒนาห้องปฏิบัติการตรวจกัญชาของกรมวิทย์ฯ และเครือข่ายได้จัดทำคู่มือมาตรฐานการเพาะปลูกและการเก็บเกี่ยวพืชกัญชาในประเทศไทยสำหรับอบรมเกษตรกรและเตรียมพร้อมกับการตรวจรับรองการเก็บเกี่ยว จัดอบรม อสม. ในเรื่องการปลูกและใช้กัญชาอย่างเข้าใจสำหรับภาคประชาชนจัดประชุมผ่านสื่อและถ่ายทอดให้เกษตรกรต่อไป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ได้ส่งเสริมและสนับสนุนเกษตรกรในส่วนของการปลูกและการดูแลรักษา เพื่อให้สามารถนำไปใช้ประโยชน์ทางการแพทย์ และเศรษฐกิจต่อไป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1.4 คณะรัฐมนตรีควรมอบหมาย สธ. อว. ศธ. และ มท. พิจารณาดำเนินการพัฒนากลไกในการเฝ้าระวังและติดตามสถานการณ์การใช้กัญชา กัญชง รวมทั้งเชื่อมโยงฐานข้อมูลระหว่างหน่วยงานที่เกี่ยวข้องและสนับสนุนให้ท้องถิ่นมีส่วนร่วมในการควบคุมการปลูกและการใช้ประโยชน์จากกัญชา กัญชง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อว. เห็นว่า ควรเผยแพร่ข้อมูลเพื่อให้เห็นความสำคัญของการรายงาน เพื่อให้เห็นมิติการละเมิดสิทธิได้ทันทีและเป็นการปกป้องสิทธิเด็กตามเจตนารมณ์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มีกลไกการเฝ้าระวังและติดตามสถานการณ์การใช้กัญชาโดยการสำรวจ ส่วนผลกระทบปลายทางมีกลไกการเฝ้าระวังและติดตามข้อมูล โดยการกำกับติดตามอาการไม่พึงประสงค์จากการใช้กัญชา อาการทางจิตเวช และการรายงานผ่านระบบ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ผ่านแบบฟอร์มรายงานอาการไม่พึงประสงค์  และประชุมร่วมกับหน่วยงานที่เกี่ยวข้องทุกเดือน ด้านความร่วมมือกับหน่วยงานภายนอก มีการเชื่อมโยงฐานข้อมูลระหว่างหน่วยงาน มีการนำเสนอข้อมูลเกี่ยวกับการลงทะเบียนปลูกกัญชาผ่านทาง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และให้ประชาชนสามารถลงทะเบียนเพื่อปลูกกัญชาได้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มีกลไกในการดูแลและติดตามการใช้สารเสพติดในสถานศึกษา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ข้อเสนอแนะในการแก้ไขปรับปรุงกฎหมาย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คณะรัฐมนตรีควรมอบหมายให้ สธ. และ คค. ปรับปรุงกฎหมายเพื่อป้องกันอุบัติเหตุจากการใช้กัญชา กัญชง ดังนี้</w:t>
            </w: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กำหนดระดับของการสูบหรือบริโภคกัญชา กัญชง ที่ห้ามขับขี่ยานพาหนะและห้ามทำงานกับเครื่องจักร ทำงานในที่สูง หรือทำงานในลักษณะอื่นที่อาจก่อให้เกิดอุบัตเหตุ และพัฒนาอุปกรณ์การตรวจระดับการสูบหรือบริโภคกัญชา กัญชงรวมถึงกำหนดให้มีการตรวจวัดระดับการสูบ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หรือบริโภคกัญชา กัญชง ขณะขับขี่ยานพาหนะเช่นเดียวกับการตรวจวัดระดับแอลกอฮอล์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มีกฎหมายที่เกี่ยวกับการป้องกันอุบัติเหตุจากการใช้กัญชา กัญชง ได้แก่ พ.ร.บ. รถยนต์ พ.ศ. 2522 และ พ.ร.บ. การขนส่งทางบก พ.ศ. 2522 โดยมาตรา 57 ทวิ แห่ง พ.ร.บ. รถยนต์ พ.ศ. 2522 ได้ให้อำนาจผู้ตรวจการสั่งให้ผู้ขับรถหยุดเพื่อตรวจสอบการปฏิบัติตาม พ.ร.บ. นี้กับมีอำนาจปฏิบัติการเท่าที่จำเป็นเพื่อประโยชน์แก่การตรวจสอบนั้นได้และมาตรา 102 ทวิ แห่ง พ.ร.บ. 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ขนส่งทางบก พ.ศ. 2522 ได้ให้อำนาจผู้ตรวจการหรือพนักงานฝ่ายปกครองหรือตำรวจตรวจหรือทดสอบหรือสั่งให้รับการตรวจหรือทดสอบว่าผู้ขับรถมีสารอันเกิดจากการเสพของมึนเมาอยู่ในร่างกายหรือไม่รวมถึงได้กำหนดไว้ใน ร่าง พ.ร.บ. กัญชา กัญชง พ.ศ. .... ซึ่งมีมาตราที่ห้ามขับรถขณะมึนเมากัญชาและมีการตรวจหาสาร 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2.2 พัฒนากฎหมาย มาตรการในการไม่ขับขี่ยานพาหนะ และการห้ามทำงานกับเครื่องจักร ทำงานในที่สูง หรือทำงานในลักษณะอื่นที่อาจก่อให้เกิดอุบัติเหตุในขณะที่บริโภคกัญชา กัญชง ไว้ในกฎหมายเป็นการเฉพาะ รวมทั้งปรับปรุงแก้ไข พ.ร.บ. จราจรทางบก พ.ศ. 2522 และ พ.ร.บ. ความปลอดภัย อาชีวอนามัย และสภาพแวดล้อมในการทำงาน พ.ศ. 2554 ให้มีความชัดเจนครอบคลุมถึงการใช้กัญชา กัญชงของบุคคล เป็นต้น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พ.ร.บ. จราจรทางบก พ.ศ. 2522 เป็นกฎหมายที่อยู่ในความรับผิดชอบของ ตช. ตามมาตรา 43 (2) ได้กำหนดไว้ว่าห้ามมิให้ผู้ขับขี่รับรถในขณะเมาสุราหรือของเมาอย่างอื่น ซึ่งใน พ.ร.บ. รถยนต์ พ.ศ. 2522 และ พ.ร.บ. การขนส่งทางบก พ.ศ. 2522 มีบทบัญญัติในทำนองเดียวกันกับ พ.ร.บ. จราจรทางบก พ.ศ. 2522 ดังนั้น จึงไม่ต้องแก้ไขเพิ่มเติม พ.ร.บ. รถยนต์ พ.ศ. 2522 และ พ.ร.บ. การขนส่งทางบก พ.ศ. 2522 แต่อย่างใด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คค. โดยกรมการขนส่งทางบก บริษัท ขนส่ง จำกัด กรมเจ้าท่า และสำนักงานการบินพลเรือนได้ออกประกาศแนวทางปฏิบัติที่เกี่ยวกับกัญชาหรือกัญชงรวมทั้งองค์การขนส่งมวลชนกรุงเทพได้กำหนดมาตรการป้องกันปัญหาที่เกิดจากการใช้กัญชาหรือกัญชง และมีแผนดำเนินการศึกษาแนวทางปฏิบัติที่เกี่ยวข้องจากหน่วยงานต่างประเทศก่อนพิจารณาดำเนินการพัฒนากฎหมายต่อไป โดยบรรจุมาตราต่าง ๆ ไว้ ในร่าง พ.ร.บ. กัญชา กัญชง พ.ศ. .... ซึ่งได้มีการกำหนดในกฎหมายไว้โดยเฉพาะแล้ว</w:t>
            </w:r>
          </w:p>
        </w:tc>
      </w:tr>
    </w:tbl>
    <w:p w:rsidR="00E3004A" w:rsidRPr="00A439C9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62D7" w:rsidRPr="00E3004A" w:rsidRDefault="001662D7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4571AB">
        <w:tc>
          <w:tcPr>
            <w:tcW w:w="9594" w:type="dxa"/>
          </w:tcPr>
          <w:p w:rsidR="00B879F8" w:rsidRPr="00E210BD" w:rsidRDefault="00B879F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3004A" w:rsidRPr="001662D7" w:rsidRDefault="00E3004A" w:rsidP="00E300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6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ขออนุมัติวงเงินงบประมาณรายจ่ายประจำปีงบประมาณ พ.ศ. 2566 งบกลาง</w:t>
      </w:r>
      <w:r w:rsidR="00324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62D7">
        <w:rPr>
          <w:rFonts w:ascii="TH SarabunPSK" w:hAnsi="TH SarabunPSK" w:cs="TH SarabunPSK"/>
          <w:b/>
          <w:bCs/>
          <w:sz w:val="32"/>
          <w:szCs w:val="32"/>
          <w:cs/>
        </w:rPr>
        <w:t>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</w:t>
      </w:r>
    </w:p>
    <w:p w:rsidR="00E3004A" w:rsidRPr="0032456B" w:rsidRDefault="00E3004A" w:rsidP="00E3004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คณะรัฐมนตรีมีมติอนุมัติวงเงินงบประมาณรายจ่ายประจำปีงบประมาณ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 ให้กระทรวงการต่างประเทศ (กต.) จำนวน 222.95 ล้านบาท เพื่อ กต. จะได้ชำระเป็นค่าบำรุงงบประมาณปกติ (</w:t>
      </w:r>
      <w:r w:rsidRPr="001662D7">
        <w:rPr>
          <w:rFonts w:ascii="TH SarabunPSK" w:hAnsi="TH SarabunPSK" w:cs="TH SarabunPSK"/>
          <w:sz w:val="32"/>
          <w:szCs w:val="32"/>
        </w:rPr>
        <w:t>Regular Budget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) ของสหประชาชาติประจำปี ค.ศ. </w:t>
      </w:r>
      <w:r w:rsidRPr="001662D7">
        <w:rPr>
          <w:rFonts w:ascii="TH SarabunPSK" w:hAnsi="TH SarabunPSK" w:cs="TH SarabunPSK"/>
          <w:sz w:val="32"/>
          <w:szCs w:val="32"/>
        </w:rPr>
        <w:t>2023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r w:rsidR="0032456B">
        <w:rPr>
          <w:rFonts w:ascii="TH SarabunPSK" w:hAnsi="TH SarabunPSK" w:cs="TH SarabunPSK"/>
          <w:sz w:val="32"/>
          <w:szCs w:val="32"/>
        </w:rPr>
        <w:t xml:space="preserve"> </w:t>
      </w:r>
      <w:r w:rsidR="0032456B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</w:t>
      </w:r>
    </w:p>
    <w:p w:rsidR="00E3004A" w:rsidRPr="001662D7" w:rsidRDefault="00E3004A" w:rsidP="00E300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004A" w:rsidRPr="001662D7" w:rsidRDefault="00E3004A" w:rsidP="00E300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นำเสนอคณะรัฐมนตรีพิจารณาอนุมัติวงเงินงบประมาณรายจ่ายประจำปีงบประมาณ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 w:rsidRPr="001662D7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 ให้ กต. จำนวน 222.95 ล้านบาท เพื่อ กต. จะได้ชำระเป็นค่าบำรุงงบประมาณปกติ (</w:t>
      </w:r>
      <w:r w:rsidRPr="001662D7">
        <w:rPr>
          <w:rFonts w:ascii="TH SarabunPSK" w:hAnsi="TH SarabunPSK" w:cs="TH SarabunPSK"/>
          <w:sz w:val="32"/>
          <w:szCs w:val="32"/>
        </w:rPr>
        <w:t>Regular Budget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) ของสหประชาชาติประจำปี ค.ศ. </w:t>
      </w:r>
      <w:r w:rsidRPr="001662D7">
        <w:rPr>
          <w:rFonts w:ascii="TH SarabunPSK" w:hAnsi="TH SarabunPSK" w:cs="TH SarabunPSK"/>
          <w:sz w:val="32"/>
          <w:szCs w:val="32"/>
        </w:rPr>
        <w:t>2023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ต่อไป โดยสำนักงบประมาณ</w:t>
      </w:r>
      <w:r w:rsidRPr="001662D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แจ้งว่า นายกรัฐมนตรีได้เห็นชอบให้ใช้จ่ายจากงบประมาณรายจ่ายประจำปีงบประมาณ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 w:rsidRPr="001662D7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 222.95 ล้านบาท เพื่อชำระเป็นเงินอุดหนุนองค์การระหว่างประเทศที่ไทยเข้าร่วมเป็นสมาชิกแล้ว ทั้งนี้ กระทรวงการคลังและสำนักงานสภาพัฒนาการเศรษฐกิจและสังคมแห่งชาติพิจารณาแล้วเห็นสมควรที่คณะรัฐมนตรีจะอนุมัติ/เห็นชอบในหลักการตามที่ กต. เสนอ โดยมีความเห็นเพิ่มเติมว่า กต. ควรให้ความสำคัญกับการควบคุม และกำกับดูแลการดำเนินการให้เป็นไปตามกฎหมาย ระเบียบ ข้อบังคับ และหลักเกณฑ์ที่เกี่ยวข้อง รวมทั้งควรดำเนินการวิเคราะห์และประเมินผลจากการเข้าร่วมเป็นสมาชิกขององค์การระหว่างประเทศต่าง ๆ ด้วย</w:t>
      </w:r>
    </w:p>
    <w:p w:rsidR="00E3004A" w:rsidRPr="001662D7" w:rsidRDefault="00E3004A" w:rsidP="00E300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</w:rPr>
        <w:tab/>
      </w:r>
      <w:r w:rsidRPr="001662D7">
        <w:rPr>
          <w:rFonts w:ascii="TH SarabunPSK" w:hAnsi="TH SarabunPSK" w:cs="TH SarabunPSK"/>
          <w:sz w:val="32"/>
          <w:szCs w:val="32"/>
        </w:rPr>
        <w:tab/>
        <w:t>2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. พระราชกฤษฎีกายุบสภาผู้แทนราษฎร พ.ศ.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มีผลบังคับใช้แล้วตั้งแต่วันที่ </w:t>
      </w:r>
      <w:r w:rsidRPr="001662D7">
        <w:rPr>
          <w:rFonts w:ascii="TH SarabunPSK" w:hAnsi="TH SarabunPSK" w:cs="TH SarabunPSK"/>
          <w:sz w:val="32"/>
          <w:szCs w:val="32"/>
        </w:rPr>
        <w:t>20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เป็นต้นไป และรัฐธรรมนูญแห่งราชอาณาจักรไทย มาตรา 169 (3) บัญญัติให้คณะรัฐมนตรีที่พ้นจากตำแหน่งต้องไม่กระทำการอันมีผลเป็นการอนุมัติให้ใช้จ่ายงบประมาณสำรองจ่ายเพื่อกรณีฉุกเฉินหรือจำเป็น เว้นแต่จะได้รับความเห็นชอบจากคณะกรรมการการเลือกตั้งก่อน ประกอบกับคณะรัฐมนตรีได้มีมติเมื่อวันที่ </w:t>
      </w:r>
      <w:r w:rsidRPr="001662D7">
        <w:rPr>
          <w:rFonts w:ascii="TH SarabunPSK" w:hAnsi="TH SarabunPSK" w:cs="TH SarabunPSK"/>
          <w:sz w:val="32"/>
          <w:szCs w:val="32"/>
        </w:rPr>
        <w:t>21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(เรื่อง แนวทางปฏิบัติอันเนื่องมาจากการยุบสภาผู้แทนราษฎร) เกี่ยวกับการอนุมัติให้ใช้จ่ายงบประมาณสำรองจ่ายเพื่อกรณีฉุกเฉินหรือจำเป็น ซึ่งแนวทางปฏิบัติและขั้นตอนดำเนินการตามมาตรา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ของรัฐธรรมนูญ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662D7">
        <w:rPr>
          <w:rFonts w:ascii="TH SarabunPSK" w:hAnsi="TH SarabunPSK" w:cs="TH SarabunPSK"/>
          <w:sz w:val="32"/>
          <w:szCs w:val="32"/>
          <w:cs/>
        </w:rPr>
        <w:t>แห่งราชอาณาจักรไทย ของสำนักงานคณะกรรมการการเลือกตั้งกำหนดไว้ว่า การอนุมัติให้ใช้จ่ายงบประมาณสำรองจ่ายเพื่อกรณีฉุกเฉินหรือจำเป็นจะต้องกระทำเท่าที่จำเป็น และต้องได้รับความเห็นชอบจากคณะกรรมการการเลือกตั้งก่อน โดยการดำเนินการดังกล่าวจะกระทำได้เฉพาะที่เกี่ยวกับการปฏิบัติภารกิจของส่วนราชการ รัฐวิสาหกิจ และหน่วยงานของรัฐ ที่มีความจำเป็นต้องใช้งบประมาณนอกเหนือจากที่ได้รับการจัดสรร หรือที่ได้รับการจัดสรรไปแล้วแต่ไม่เพียงพอ และมีความจำเป็นเร่งด่วนต้องขอใช้งบประมาณรายจ่ายงบกลาง รายการเงินสำรองจ่ายเพื่อกรณีฉุกเฉินหรือจำเป็น ทั้งนี้ 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แล้วจึงเสนอให้คณะกรรมการการเลือกตั้งพิจารณาให้ความเห็นชอบตามบทบัญญัติดังกล่าว</w:t>
      </w:r>
    </w:p>
    <w:p w:rsidR="00E3004A" w:rsidRPr="001662D7" w:rsidRDefault="00E3004A" w:rsidP="00E300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</w:rPr>
        <w:tab/>
      </w:r>
      <w:r w:rsidRPr="001662D7">
        <w:rPr>
          <w:rFonts w:ascii="TH SarabunPSK" w:hAnsi="TH SarabunPSK" w:cs="TH SarabunPSK"/>
          <w:sz w:val="32"/>
          <w:szCs w:val="32"/>
        </w:rPr>
        <w:tab/>
        <w:t>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. โดยที่เรื่องนี้มีความจำเป็นเร่งด่วนต้องใช้งบประมาณรายจ่ายงบกลาง รายการเงินสำรองจ่ายเพื่อกรณีฉุกเฉินหรือจำเป็น เนื่องจากงบประมาณที่ได้รับจัดสรรไม่เพียงพอต่อการดำเนินการ ซึ่งระเบียบว่าด้วยการบริหารงบประมาณรายจ่ายงบกลาง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1662D7">
        <w:rPr>
          <w:rFonts w:ascii="TH SarabunPSK" w:hAnsi="TH SarabunPSK" w:cs="TH SarabunPSK"/>
          <w:sz w:val="32"/>
          <w:szCs w:val="32"/>
        </w:rPr>
        <w:t>2562</w:t>
      </w:r>
      <w:r w:rsidR="0032456B">
        <w:rPr>
          <w:rFonts w:ascii="TH SarabunPSK" w:hAnsi="TH SarabunPSK" w:cs="TH SarabunPSK"/>
          <w:sz w:val="32"/>
          <w:szCs w:val="32"/>
        </w:rPr>
        <w:t xml:space="preserve">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662D7">
        <w:rPr>
          <w:rFonts w:ascii="TH SarabunPSK" w:hAnsi="TH SarabunPSK" w:cs="TH SarabunPSK"/>
          <w:sz w:val="32"/>
          <w:szCs w:val="32"/>
        </w:rPr>
        <w:t>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กำหนดให้กรณีที่วงเงินเกินกว่า 1</w:t>
      </w:r>
      <w:r w:rsidRPr="001662D7">
        <w:rPr>
          <w:rFonts w:ascii="TH SarabunPSK" w:hAnsi="TH SarabunPSK" w:cs="TH SarabunPSK"/>
          <w:sz w:val="32"/>
          <w:szCs w:val="32"/>
        </w:rPr>
        <w:t>00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ล้านบาท ให้หน่วยรับงบประมาณนำเรื่องเสนอขออนุมัติต่อคณะรัฐมนตรี จึงเข้าข่ายเรื่องที่เสนอต่อคณะรัฐมนตรีได้ตามนัยมาตรา 4 (1) แห่งพระราชกฤษฎีกาว่าด้วยการเสนอเรื่องและการประชุมคณะรัฐมนตรี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2548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ที่บัญญัติให้การเสนอเรื่องต่อคณะรัฐมนตรีให้เสนอได้เฉพาะเรื่องที่กฎหมายกำหนดให้เป็นอำนาจหน้าที่ของคณะรัฐมนตรีหรือให้ต้องเสนอคณะรัฐมนตรี ประกอบกับเรื่องนี้จัดอยู่ในด้านการบริหารราชการแผ่นดิน การปรับปรุงกฎระเบียบเพื่ออำนวยความสะดวกแก่ประชาชน ซึ่งสำนักงานคณะกรรมการกฤษฎีกาเห็นว่า กรณีดังกล่าวเป็นการดำเนินการตามพันธกรณีของไทยตามกฎบัตรสหประชาชาติซึ่งไทยเข้าเป็นสมาชิก มิใช่การทำหนังสือสัญญาขึ้นใหม่ จึงไม่มีประเด็นต้องพิจารณาเกี่ยวกับการเป็นหนังสือสัญญาตามมาตรา </w:t>
      </w:r>
      <w:r w:rsidRPr="001662D7">
        <w:rPr>
          <w:rFonts w:ascii="TH SarabunPSK" w:hAnsi="TH SarabunPSK" w:cs="TH SarabunPSK"/>
          <w:sz w:val="32"/>
          <w:szCs w:val="32"/>
        </w:rPr>
        <w:t xml:space="preserve">178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และไม่เข้าลักษณะเป็นการสร้างความผูกพันต่อคณะรัฐมนตรีชุดต่อไป ตามนัยมาตรา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อย่างไรก็ดี กรณีนี้เป็นการขอรับจัดสรรงบประมาณรายจ่ายประจำปีงบประมาณ พ.ศ. 2566 งบกลาง รายการเงินสำรองจ่ายเพื่อกรณีจุกเฉินหรือจำเป็น จึงเข้าลักษณะเป็นการกระทำอับมีผลเป็นการอนุมัติให้ใช้จ่ายงบประมาณสำรองจ่ายเพื่อกรณีกเฉินหรือจำเป็น ซึ่งคณะรัฐมนตรีจะอนุมัติมิได้ เว้นแต่จะ</w:t>
      </w:r>
      <w:r w:rsidRPr="001662D7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ได้รับอนุมัติความเห็นชอบจากคณะกรรมการการเลือกตั้งก่อน ตามมาตรา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ของรัฐธรรมนูญแห่งราชอาณาจักรไทย ซึ่ง กต. ต้องดำเนินการให้เป็นไปตามมติคณะรัฐมนตรีเมื่อวันที่ </w:t>
      </w:r>
      <w:r w:rsidRPr="001662D7">
        <w:rPr>
          <w:rFonts w:ascii="TH SarabunPSK" w:hAnsi="TH SarabunPSK" w:cs="TH SarabunPSK"/>
          <w:sz w:val="32"/>
          <w:szCs w:val="32"/>
        </w:rPr>
        <w:t>21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แนวทางปฏิบัติอันเนื่องมาจากการยุบสภาผู้แทนราษฎร) ที่กำหนดให้หน่วยงานที่เกี่ยวข้องดำเนินการขอความเห็นชอบจากคณะรัฐมนตรีก่อน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 ดังนั้น จึงเห็นควรนำเรื่องนี้เสนอคณะรัฐมนตรีพิจารณา ทั้งนี้ หากคณะรัฐมนตรีมีมติอนุมัติตามที่ กต. เสนอ ให้มีผลดำเนินการได้เมื่อคณะกรรมการการเลือกตั้งให้ความเห็นชอบตามบทบัญญัติของรัฐธรรมนูญแห่งราชอาณาจักรไทย 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แล้ว</w:t>
      </w:r>
    </w:p>
    <w:p w:rsidR="00E3004A" w:rsidRDefault="00E3004A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9C9" w:rsidRDefault="00A439C9" w:rsidP="00A439C9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2456B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10.</w:t>
      </w:r>
      <w:r w:rsidRPr="0032456B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 การจัดทำแผนการหารือระหว่างกระทรวงการต่างประเทศแห่งราชอาณาจักรไทยกับกระทรวงการ</w:t>
      </w:r>
      <w:r w:rsidR="0032456B" w:rsidRPr="0032456B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ต่</w:t>
      </w:r>
      <w:r w:rsidRPr="0032456B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างประเทศแห่ง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สหพันธรัฐรัสเซีย ฉบับที่ 5 (พ.ศ. 2566 - 2568)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5 (พ.ศ. 2566 - 2568) (ร่างแผนการหารือฯ ฉบับที่ 5) ทั้งนี้หากมีความจำเป็นต้องแก้ไขปรับปรุงร่างแผนการหารือ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กระทรวงการต่างประเทศ (กต) สามารถดำเนินการได้ โดยนำเสนอคณะรัฐมนตรีทราบภายหลัง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รวมทั้งให้รองนายกรัฐมนตรี (นายดอน ปรมัตถ์วินัย) และรัฐมนตรีว่าการกระทรวงการต่างประเทศ หรือผู้แทนที่ได้รับมอบหมาย เป็นผู้ลงนามแผนการหารือดังกล่าวตามที่กระทรวงการต่างประเทศ (กต) เสนอ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ที่ผ่านมาคณะรัฐมนตรีได้เคยมีมติเห็นชอบร่างแผนการหารือฯ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1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A439C9">
        <w:rPr>
          <w:rFonts w:ascii="TH SarabunPSK" w:hAnsi="TH SarabunPSK" w:cs="TH SarabunPSK"/>
          <w:sz w:val="32"/>
          <w:szCs w:val="32"/>
        </w:rPr>
        <w:t>4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ซึ่งมีสาระสำคัญเป็นการกำหนดกรอบการปฏิบัติงานและกลไกการหารือระหว่าง กต. ของทั้งสองประเทศใน </w:t>
      </w:r>
      <w:r w:rsidRPr="00A439C9">
        <w:rPr>
          <w:rFonts w:ascii="TH SarabunPSK" w:hAnsi="TH SarabunPSK" w:cs="TH SarabunPSK"/>
          <w:sz w:val="32"/>
          <w:szCs w:val="32"/>
        </w:rPr>
        <w:t>2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ระดับรัฐมนตรีช่วยว่าการกระทรวงการต่างประเทศและระดับเจ้าหน้าที่ปฏิบัติของกรมต่าง ๆ ที่เกี่ยวข้อง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ภายหลังจากที่แผนการหารือฯ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4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สิ้นสุด กต. ได้เสนอร่างแผนการหารือฯ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ให้ฝ่ายรัสเซียพิจารณา โดยทั้งสองฝ่ายได้เจรจาและเห็นชอบร่างแผนการหารือฯ ฉบับที่ 5 ร่วมกันแล้ว โดยฝ่ายรัสเซียประสงค์จะให้มีการลงนามแผนการหารือฯ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ในห้วงการเยือนประเทศไทยของรัฐมนตรีช่วยว่าการกระทรวงการต่างประเทศแห่งสหพันรัฐรัสเซีย (นายอันเดรย์ รูเดนโค - </w:t>
      </w:r>
      <w:r w:rsidRPr="00A439C9">
        <w:rPr>
          <w:rFonts w:ascii="TH SarabunPSK" w:hAnsi="TH SarabunPSK" w:cs="TH SarabunPSK"/>
          <w:sz w:val="32"/>
          <w:szCs w:val="32"/>
        </w:rPr>
        <w:t>Andrey Rudenko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) (เทียบเท่าระดับรองปลัดกระทรวงฯ ในโอกาสเข้าพบหารือกับปลัดกระทรวงการต่างประเทศ (นายศรัณย์ เจริญสุวรรณ) ในวันที่ </w:t>
      </w:r>
      <w:r w:rsidRPr="00A439C9">
        <w:rPr>
          <w:rFonts w:ascii="TH SarabunPSK" w:hAnsi="TH SarabunPSK" w:cs="TH SarabunPSK"/>
          <w:sz w:val="32"/>
          <w:szCs w:val="32"/>
        </w:rPr>
        <w:t>25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439C9">
        <w:rPr>
          <w:rFonts w:ascii="TH SarabunPSK" w:hAnsi="TH SarabunPSK" w:cs="TH SarabunPSK"/>
          <w:sz w:val="32"/>
          <w:szCs w:val="32"/>
        </w:rPr>
        <w:t>2566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(กต.) นำเสนอคณะรัฐมนตรีพิจารณาให้ความเห็นชอบร่าง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5 (พ.ศ. 2566 - 2568) ซึ่งเป็นแผนการหารือต่อเนื่องจากฉบับเดิมที่หมดอายุไปแล้วโดยรายละเอียดของร่างแผนการหารือฯ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เป็นเพียงการกำหนดหัวข้อกรอบการหารือกว้าง ๆ และกำหนดหน่วยงานผู้รับผิดชอบตามประเด็นของแผนการหารือฯ ระหว่าง กต. ของทั้งสองประเทศเพื่อให้การดำเนินการในด้านต่าง ๆ เกิดผลอย่างเป็นรูปธรรม (ทั้งสองฝ่ายจะหารือในรายละเอียดของแต่ละประเด็นผ่านช่องทางการทูตต่อไป)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คณะรัฐนตรีมีมติเห็นชอบต่อร่างบันทึกความเข้าใจว่าด้วยความร่วมมือด้านพลศึกษา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ในส่วนที่มิใช่สาระสำคัญเพื่อให้สอดคล้องกับผลประโยชน์และนโยบายของฝ่ายไทย ให้กระทรวงการท่องเที่ยวและกีฬาสามารถดำเนินการได้โดยไม่ต้องนำเสนอคณะรัฐมนตรีพิจารณาอีกครั้ง รวมทั้งอนุมัติให้นายนภินทร ศรีสรรพางค์ ผู้ช่วยรัฐมนตรีประจำกระทรวงการท่องเที่ยว</w:t>
      </w:r>
      <w:r w:rsidRPr="00A439C9">
        <w:rPr>
          <w:rFonts w:ascii="TH SarabunPSK" w:hAnsi="TH SarabunPSK" w:cs="TH SarabunPSK"/>
          <w:sz w:val="32"/>
          <w:szCs w:val="32"/>
          <w:cs/>
        </w:rPr>
        <w:lastRenderedPageBreak/>
        <w:t>และกีฬา เป็นผู้ลงนามในบันทึกความเข้าใจว่าด้วยความร่วมมือด้านพลศึกษา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ตามที่กระทรวงการท่องเที่ยวและกีฬา (กก.) เสนอ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กระทรวงการกีฬาแห่งสหพันธรัฐสเซียได้เสนอให้มีการจัดทำบันทึกความเข้าใจว่าด้วยความร่วมมือด้านพลศึกษาและการกีฬากับกระทรวงการท่องเที่ยวและกีฬา พร้อมทั้งยกร่างบันทึกความเข้าใจฯ มาให้ฝ่ายไทยพิจารณา ทั้งนี้ ที่ผ่านมาได้มีการโต้ตอบร่างบันทึกความเข้าใจฯ ระหว่างกัน จนได้มีการเห็นชอบร่างบันทึกความเข้าใจดังกล่าวร่วมกันแล้ว ซึ่งร่างบันทึกความเข้าใจฯ มีสาระสำคัญเกี่ยวกับการเสริมสร้างและพัฒนาความร่วมมือด้านกีฬาของทั้งสองประเทศ ผ่านการส่งเสริมการแลกเปลี่ยนความรู้โครงการ ประสบการณ์ด้านกีฬา แผนการพัฒนาด้านการกีฬา และผู้เชี่ยวชาญด้านการกีฬาของทั้งสองฝ่าย รวมทั้งการใช้เทคโนโลยีการกีฬาและวิทยาศาสตร์การกีฬา อีกทั้งการส่งเสริมบทบาทของสตรีและเด็กผู้หญิงผ่านการกีฬา การต่อต้านการใช้สารต้องห้ามด้านกีฬาและการต่อสู้ที่ผิดกฎหมาย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ร่างเอกสารผลลัพธ์การประชุมคณะกรรมาธิการร่วมว่าด้วยความร่วมมือทวิภาคีไทย-รัสเซีย ครั้งที่ 8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คณะกรรมาธิการร่วมว่าด้วยความร่วมมือทวิภาคีไทย-รัสเซีย  (</w:t>
      </w:r>
      <w:r w:rsidRPr="00A439C9">
        <w:rPr>
          <w:rFonts w:ascii="TH SarabunPSK" w:hAnsi="TH SarabunPSK" w:cs="TH SarabunPSK"/>
          <w:sz w:val="32"/>
          <w:szCs w:val="32"/>
        </w:rPr>
        <w:t>Joint Thai</w:t>
      </w:r>
      <w:r w:rsidRPr="00A439C9">
        <w:rPr>
          <w:rFonts w:ascii="TH SarabunPSK" w:hAnsi="TH SarabunPSK" w:cs="TH SarabunPSK"/>
          <w:sz w:val="32"/>
          <w:szCs w:val="32"/>
          <w:cs/>
        </w:rPr>
        <w:t>-</w:t>
      </w:r>
      <w:r w:rsidRPr="00A439C9">
        <w:rPr>
          <w:rFonts w:ascii="TH SarabunPSK" w:hAnsi="TH SarabunPSK" w:cs="TH SarabunPSK"/>
          <w:sz w:val="32"/>
          <w:szCs w:val="32"/>
        </w:rPr>
        <w:t>Russian Commission on Bilateral Cooperation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439C9">
        <w:rPr>
          <w:rFonts w:ascii="TH SarabunPSK" w:hAnsi="TH SarabunPSK" w:cs="TH SarabunPSK"/>
          <w:sz w:val="32"/>
          <w:szCs w:val="32"/>
        </w:rPr>
        <w:t>JC</w:t>
      </w:r>
      <w:r w:rsidRPr="00A439C9">
        <w:rPr>
          <w:rFonts w:ascii="TH SarabunPSK" w:hAnsi="TH SarabunPSK" w:cs="TH SarabunPSK"/>
          <w:sz w:val="32"/>
          <w:szCs w:val="32"/>
          <w:cs/>
        </w:rPr>
        <w:t>) ครั้งที่ 8 รวมทั้งอนุมัติให้รองนายกรัฐมนตรีและรัฐมนตรีว่าการกระทรวงการต่างประเทศร่วมรับรองเอกสารดังกล่าวกับรัฐมนตรีว่าการกระทรวงการพัฒนาภูมิภาคตะวันออกไกลและอาร์กติกสหพันธรัฐรัสเซีย โดยไม่มีการลงนาม ทั้งนี้ หากมีความจำป็นต้องแก้ไขร่างเอกสารผลลัพธ์การประชุมคณะกรรมาธิการร่วมว่าด้วยความร่วมมือทวิภาคีไทย-รัสเซีย ครั้งที่ 8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ให้กระทรวงการต่างประเทศและคณะผู้แทนไทยสามารถดำเนินการได้ โดยนำเสนอคณะรัฐมนตรีทราบภายหลัง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ตามที่กระทรวงการต่างประเทศ (กต.) เสนอ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ร่างเอกสารผลลัพธ์การประชุมคณะกรรมาธิการร่วมว่าด้วยความร่วมมือทวิภาคีไทย-รัสเซีย ครั้งที่ 8 มีวัตถุประสงค์เพื่อเป็นกรอบกำหนดแนวทางการดำเนินการความร่วมมือระหว่างไทยกับสหพันธรัฐรัสเซีย โดยระบุความร่วมมือที่สำคัญใน 12 สาขา ได้แก่ (1) ความร่วมมือด้านเศรษฐกิจ การค้าและการลงทุน (2) ความร่วมมือด้านอุตสาหกรรม (3) ความร่วมมือด้านพลังงาน (4) ความร่วมมือด้านการใช้พลังงานนิวเคลียร์ในทางสันติ (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ความร่วมมือด้านวิทยาศาสตร์ เทคโนโลยีและนวัตกรรม (</w:t>
      </w:r>
      <w:r w:rsidRPr="00A439C9">
        <w:rPr>
          <w:rFonts w:ascii="TH SarabunPSK" w:hAnsi="TH SarabunPSK" w:cs="TH SarabunPSK"/>
          <w:sz w:val="32"/>
          <w:szCs w:val="32"/>
        </w:rPr>
        <w:t>6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ความร่วมมือด้านการเกษตรและการประมง (</w:t>
      </w:r>
      <w:r w:rsidRPr="00A439C9">
        <w:rPr>
          <w:rFonts w:ascii="TH SarabunPSK" w:hAnsi="TH SarabunPSK" w:cs="TH SarabunPSK"/>
          <w:sz w:val="32"/>
          <w:szCs w:val="32"/>
        </w:rPr>
        <w:t>7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ความร่วมมือด้านการศึกษา วัฒนธรรม และกีฬา (8) ความร่วมมือด้านคมนาคม (9) ความร่วมมือด้านการท่องเที่ยว (10) ความร่วมมือด้านสิ่งแวดล้อม (</w:t>
      </w:r>
      <w:r w:rsidRPr="00A439C9">
        <w:rPr>
          <w:rFonts w:ascii="TH SarabunPSK" w:hAnsi="TH SarabunPSK" w:cs="TH SarabunPSK"/>
          <w:sz w:val="32"/>
          <w:szCs w:val="32"/>
        </w:rPr>
        <w:t>11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ความร่วมมือด้านการเปลี่ยนแปลงสภาพภูมิอากาศ และ (</w:t>
      </w:r>
      <w:r w:rsidRPr="00A439C9">
        <w:rPr>
          <w:rFonts w:ascii="TH SarabunPSK" w:hAnsi="TH SarabunPSK" w:cs="TH SarabunPSK"/>
          <w:sz w:val="32"/>
          <w:szCs w:val="32"/>
        </w:rPr>
        <w:t>12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ความร่วมมือด้านสาธารณสุข</w:t>
      </w:r>
    </w:p>
    <w:p w:rsidR="00B879F8" w:rsidRPr="00E210BD" w:rsidRDefault="00B879F8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89079C">
        <w:tc>
          <w:tcPr>
            <w:tcW w:w="9594" w:type="dxa"/>
          </w:tcPr>
          <w:p w:rsidR="00B879F8" w:rsidRPr="00E210BD" w:rsidRDefault="00B879F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การแต่งตั้งกรรมการผู้ทรงวุฒิ ในคณะกรรมการส่งเสริมความเท่าเทียมระหว่างเพศ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คณะรัฐมนตรีมีมติอนุมัติตามที่กระทรวงการพัฒนาสังคมและความมั่นคงของมนุษย์ เสนอแต่งตั้งกรรมการผู้ทรงวุฒิในคณะกรรมการส่งเสริมความเท่าเทียมระหว่างเพศ ดังนี้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1. ผู้แทนองค์กรสตรีและองค์กรที่ทำงานด้านสิทธิความหลากหลายทางเพศ จำนวน 6 คน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1) นางถวิลวดี บุรีกุล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2) นางสาวศุธาฎา เมฆาวงศกุล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3) นางสาวสุเพ็ญศรี พึ่งโคกสูง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4) นายรณภูมิ สามัคคีคารมย์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5) นางสาวเสาวลักษณ์ ทองก๊วย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6) นางสาวศิริพร ไชยสุต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2. ผู้ทรงคุณวุฒิด้านนิติศาสตร์ ด้านสิทธิมนุษยชน ด้านสังคมศาสตร์ หรือด้านจิตวิทยา </w:t>
      </w:r>
      <w:r w:rsidR="00A439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จำนวน 3 คน 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1) นางปารีณา ศรีวนิชย์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ผู้ทรงคุณวุฒิด้านนิติศาสตร์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2) นายสมศักดิ์ ชลาชล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ผู้ทรงคุณวุฒิด้านสังคมศาสตร์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3) นางสาวชมพูนุท นาครทรรพ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ผู้ทรงคุณวุฒิด้านจิตวิทยา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25 เมษายน 2566 เป็นต้นไป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การโอนข้าราชพลเรือนสามัญเพื่อแต่งตั้งให้ดำรงตำแหน่งเลขาธิการราชบัณฑิตยสภา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คณะรัฐมนตรีมีมติอนุมัติตามที่สำนักงานราชบัณฑิตยสภาเสนอรับโอน </w:t>
      </w:r>
      <w:r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นายกฤษฎา คงคะจันทร์ </w:t>
      </w:r>
      <w:r w:rsidRPr="0089079C">
        <w:rPr>
          <w:rFonts w:ascii="TH SarabunPSK" w:hAnsi="TH SarabunPSK" w:cs="TH SarabunPSK"/>
          <w:sz w:val="32"/>
          <w:szCs w:val="32"/>
          <w:cs/>
        </w:rPr>
        <w:t>ผู้ตรวจราชการกระทรวง (ผู้ตรวจราชการระดับสูง เงินประจำตำแหน่ง 14,500 บาท) สำนักงานปลัดกระทรวง กระทรวงวัฒนธรรม มาแต่งตั้งให้ดำรงตำแหน่ง เลขาธิการราชบัณฑิตยสภา (นักบริหารระดับสูง เงินประจำตำแหน่ง 14,500 บาท) สำนักงานราชบัณฑิตยสภา เพื่อประโยชน์ของทางราชการ ทั้งนี้ ตั้งแต่วันที่ทรงพระกรุณาโปรดเกล้าโปรดกระหม่อมแต่งตั้งเป็นต้นไป ซึ่งผู้มีอำนาจสั่งบรรจุทั้งสองฝ่ายได้ตกลงยินยอมในการโอนแล้ว</w:t>
      </w:r>
    </w:p>
    <w:p w:rsid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การแต่งตั้งประธานกรรมการและคณะกรรมการในคณะกรรมการการท่าเรือแห่งประเทศไทย (ครบกำหนดออกตามวาระ)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ตามที่กระทรวงคมนาคมเสนอแต่งตั้งบุคคลเป็นประธานกรรมการและกรรมการอื่นในคณะกรรมการการท่าเรือแห่งประเทศไทย ตามมาตรา 22 แห่งพระราชบัญญัติการท่าเรือแห่งประเทศไทย พ.ศ. 2494 ดังนี้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1. นายปริญญา แสงสุวรรณ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2. นายกฤชเทพ สิมลี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3. พลตำรวจโท เจริญวิทย์ ศรีวนิชย์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4. นายชนินทร์ แก่นหิรัญ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5. นายวุฒิไกร ลีวีระพันธุ์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6. พลตำรวจโท กฤษฎา กาญจนอลงกรณ์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7. นายวรพจน์ เอี่ยมรักษา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8. นายวิบูลย์ รัตนาภรณ์วงศ์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9. นายจิรุตม์ วิศาลจิตร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10. นายวโรทัย โกศลพิศิษฐ์กุล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25 เมษายน 2566 เป็นต้นไป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การขอต่อเวลาการดำรงตำแหน่งอธิบดีกรมประชาสัมพันธ์ </w:t>
      </w:r>
    </w:p>
    <w:p w:rsidR="0089079C" w:rsidRPr="0089079C" w:rsidRDefault="0089079C" w:rsidP="00E56C0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คณะรัฐมนตรีมีมติอนุมัติตามที่สำนักนายกรัฐมนตรีเสนอต่อเวลาการดำรงตำแหน่งอธิบดี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กรมประชาสัมพันธ์ ของ พลโท สรรเสริญ แก้วกำเนิด ซึ่งได้ดำรงตำแหน่งอธิบดีกรมประชาสัมพันธ์ ตั้งแต่วันที่ 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>6 เมษายน 2562 และครบกำหนด 4 ปี ในวันที่ 5 เมษายน 2566 ต่อไปอีก 5 เดือน 25 วัน (ครั้งที่ 1) ตั้งแต่วันที่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 6 เมษายน 2566 เป็นต้นไป โดย พลโท สรรเสริญ แก้วกำเนิด จะมีอายุครบ 60 ปีบริบูรณ์ ในปีงบประมาณ </w:t>
      </w:r>
      <w:r w:rsidR="00BA10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พ.ศ. 2566 </w:t>
      </w:r>
    </w:p>
    <w:p w:rsidR="00B879F8" w:rsidRPr="00E210BD" w:rsidRDefault="00BA1054" w:rsidP="00BA1054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</w:t>
      </w:r>
    </w:p>
    <w:sectPr w:rsidR="00B879F8" w:rsidRPr="00E210BD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C3" w:rsidRDefault="00D171C3" w:rsidP="004910B6">
      <w:pPr>
        <w:spacing w:after="0" w:line="240" w:lineRule="auto"/>
      </w:pPr>
      <w:r>
        <w:separator/>
      </w:r>
    </w:p>
  </w:endnote>
  <w:endnote w:type="continuationSeparator" w:id="0">
    <w:p w:rsidR="00D171C3" w:rsidRDefault="00D171C3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 SarabunPSK Bold">
    <w:panose1 w:val="020B05000402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C3" w:rsidRDefault="00D171C3" w:rsidP="004910B6">
      <w:pPr>
        <w:spacing w:after="0" w:line="240" w:lineRule="auto"/>
      </w:pPr>
      <w:r>
        <w:separator/>
      </w:r>
    </w:p>
  </w:footnote>
  <w:footnote w:type="continuationSeparator" w:id="0">
    <w:p w:rsidR="00D171C3" w:rsidRDefault="00D171C3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7CAB" w:rsidRDefault="00457CA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9401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CAB" w:rsidRDefault="0045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510"/>
    <w:multiLevelType w:val="hybridMultilevel"/>
    <w:tmpl w:val="0D1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A0743E"/>
    <w:multiLevelType w:val="hybridMultilevel"/>
    <w:tmpl w:val="8A7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13B8"/>
    <w:multiLevelType w:val="hybridMultilevel"/>
    <w:tmpl w:val="385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137"/>
    <w:multiLevelType w:val="hybridMultilevel"/>
    <w:tmpl w:val="941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509E"/>
    <w:multiLevelType w:val="hybridMultilevel"/>
    <w:tmpl w:val="9C7254AC"/>
    <w:lvl w:ilvl="0" w:tplc="F142032A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21DDC"/>
    <w:rsid w:val="00026140"/>
    <w:rsid w:val="00040E3F"/>
    <w:rsid w:val="00044BD8"/>
    <w:rsid w:val="00055024"/>
    <w:rsid w:val="00055938"/>
    <w:rsid w:val="00073E73"/>
    <w:rsid w:val="00090259"/>
    <w:rsid w:val="00092DF6"/>
    <w:rsid w:val="000A4928"/>
    <w:rsid w:val="000B5492"/>
    <w:rsid w:val="000C05D6"/>
    <w:rsid w:val="000C076F"/>
    <w:rsid w:val="000C16FE"/>
    <w:rsid w:val="000C6F31"/>
    <w:rsid w:val="000D4B35"/>
    <w:rsid w:val="000E050E"/>
    <w:rsid w:val="000E6BB4"/>
    <w:rsid w:val="000F41F4"/>
    <w:rsid w:val="000F7596"/>
    <w:rsid w:val="0011031B"/>
    <w:rsid w:val="00123BB9"/>
    <w:rsid w:val="00131079"/>
    <w:rsid w:val="0014220F"/>
    <w:rsid w:val="00155BA1"/>
    <w:rsid w:val="00157981"/>
    <w:rsid w:val="001662D7"/>
    <w:rsid w:val="00172E5D"/>
    <w:rsid w:val="0017717A"/>
    <w:rsid w:val="00182D34"/>
    <w:rsid w:val="00185019"/>
    <w:rsid w:val="00192EDD"/>
    <w:rsid w:val="00195748"/>
    <w:rsid w:val="001A24BF"/>
    <w:rsid w:val="001D11E8"/>
    <w:rsid w:val="001D5379"/>
    <w:rsid w:val="001F1A9D"/>
    <w:rsid w:val="00201A1E"/>
    <w:rsid w:val="00204AF8"/>
    <w:rsid w:val="0022618F"/>
    <w:rsid w:val="00230130"/>
    <w:rsid w:val="0023313E"/>
    <w:rsid w:val="00237DB7"/>
    <w:rsid w:val="00245E1A"/>
    <w:rsid w:val="00282B01"/>
    <w:rsid w:val="00283E6F"/>
    <w:rsid w:val="002B6351"/>
    <w:rsid w:val="002D22BA"/>
    <w:rsid w:val="002D4FE2"/>
    <w:rsid w:val="002D5427"/>
    <w:rsid w:val="0032456B"/>
    <w:rsid w:val="003263C9"/>
    <w:rsid w:val="00330507"/>
    <w:rsid w:val="00364B39"/>
    <w:rsid w:val="00381393"/>
    <w:rsid w:val="00385B7B"/>
    <w:rsid w:val="00390544"/>
    <w:rsid w:val="00394249"/>
    <w:rsid w:val="003B11C4"/>
    <w:rsid w:val="003B137D"/>
    <w:rsid w:val="003B53CF"/>
    <w:rsid w:val="003C150C"/>
    <w:rsid w:val="003C3ED6"/>
    <w:rsid w:val="003C50FE"/>
    <w:rsid w:val="003F3346"/>
    <w:rsid w:val="003F5C8C"/>
    <w:rsid w:val="00401944"/>
    <w:rsid w:val="004053B5"/>
    <w:rsid w:val="00410BA9"/>
    <w:rsid w:val="00421B01"/>
    <w:rsid w:val="004416DD"/>
    <w:rsid w:val="004549A1"/>
    <w:rsid w:val="004552AF"/>
    <w:rsid w:val="004571AB"/>
    <w:rsid w:val="00457CAB"/>
    <w:rsid w:val="004910B6"/>
    <w:rsid w:val="0049385B"/>
    <w:rsid w:val="0049421C"/>
    <w:rsid w:val="0049791E"/>
    <w:rsid w:val="004B0516"/>
    <w:rsid w:val="004D73B5"/>
    <w:rsid w:val="004F040E"/>
    <w:rsid w:val="004F1F98"/>
    <w:rsid w:val="00503D63"/>
    <w:rsid w:val="00505AA9"/>
    <w:rsid w:val="00532486"/>
    <w:rsid w:val="00560AF1"/>
    <w:rsid w:val="0056509A"/>
    <w:rsid w:val="00565CCE"/>
    <w:rsid w:val="005B50B1"/>
    <w:rsid w:val="005C2A95"/>
    <w:rsid w:val="005D35D4"/>
    <w:rsid w:val="005E0608"/>
    <w:rsid w:val="005E6BF0"/>
    <w:rsid w:val="005F5D08"/>
    <w:rsid w:val="005F667A"/>
    <w:rsid w:val="0061266B"/>
    <w:rsid w:val="00653932"/>
    <w:rsid w:val="006707EE"/>
    <w:rsid w:val="006712B2"/>
    <w:rsid w:val="006822FA"/>
    <w:rsid w:val="006863E6"/>
    <w:rsid w:val="00690CB1"/>
    <w:rsid w:val="006F5EA8"/>
    <w:rsid w:val="006F734B"/>
    <w:rsid w:val="0071655C"/>
    <w:rsid w:val="00743646"/>
    <w:rsid w:val="00746C35"/>
    <w:rsid w:val="00762EDD"/>
    <w:rsid w:val="007705A7"/>
    <w:rsid w:val="00781FA2"/>
    <w:rsid w:val="00787124"/>
    <w:rsid w:val="007B5149"/>
    <w:rsid w:val="007C056E"/>
    <w:rsid w:val="007D0844"/>
    <w:rsid w:val="007D74D0"/>
    <w:rsid w:val="007E204A"/>
    <w:rsid w:val="007F422F"/>
    <w:rsid w:val="007F5CA6"/>
    <w:rsid w:val="008105ED"/>
    <w:rsid w:val="008217D3"/>
    <w:rsid w:val="0083444C"/>
    <w:rsid w:val="008606A8"/>
    <w:rsid w:val="00867569"/>
    <w:rsid w:val="00874D50"/>
    <w:rsid w:val="00874E64"/>
    <w:rsid w:val="008838AF"/>
    <w:rsid w:val="00884C5C"/>
    <w:rsid w:val="0089079C"/>
    <w:rsid w:val="008A5198"/>
    <w:rsid w:val="008D1044"/>
    <w:rsid w:val="008D510D"/>
    <w:rsid w:val="008F500E"/>
    <w:rsid w:val="008F66BF"/>
    <w:rsid w:val="008F71BC"/>
    <w:rsid w:val="00927E5C"/>
    <w:rsid w:val="00927F24"/>
    <w:rsid w:val="00931C51"/>
    <w:rsid w:val="009362EA"/>
    <w:rsid w:val="00945A4E"/>
    <w:rsid w:val="00960219"/>
    <w:rsid w:val="00965CB8"/>
    <w:rsid w:val="00967B8F"/>
    <w:rsid w:val="009748D7"/>
    <w:rsid w:val="009903D2"/>
    <w:rsid w:val="009A54F9"/>
    <w:rsid w:val="009B0AC8"/>
    <w:rsid w:val="009D05EF"/>
    <w:rsid w:val="009D7A58"/>
    <w:rsid w:val="009E72CA"/>
    <w:rsid w:val="00A13958"/>
    <w:rsid w:val="00A27C5D"/>
    <w:rsid w:val="00A36383"/>
    <w:rsid w:val="00A364AC"/>
    <w:rsid w:val="00A40B81"/>
    <w:rsid w:val="00A439C9"/>
    <w:rsid w:val="00A44A3F"/>
    <w:rsid w:val="00A61B05"/>
    <w:rsid w:val="00A823C5"/>
    <w:rsid w:val="00A84A4D"/>
    <w:rsid w:val="00AB481F"/>
    <w:rsid w:val="00AC11FC"/>
    <w:rsid w:val="00AC7765"/>
    <w:rsid w:val="00AC79B9"/>
    <w:rsid w:val="00AD330A"/>
    <w:rsid w:val="00AE3CBE"/>
    <w:rsid w:val="00B04917"/>
    <w:rsid w:val="00B067ED"/>
    <w:rsid w:val="00B13FDC"/>
    <w:rsid w:val="00B14938"/>
    <w:rsid w:val="00B37032"/>
    <w:rsid w:val="00B60452"/>
    <w:rsid w:val="00B879F8"/>
    <w:rsid w:val="00B9401E"/>
    <w:rsid w:val="00BA1054"/>
    <w:rsid w:val="00BA4D0B"/>
    <w:rsid w:val="00BA4FDD"/>
    <w:rsid w:val="00BB436B"/>
    <w:rsid w:val="00BD7147"/>
    <w:rsid w:val="00BF1AD5"/>
    <w:rsid w:val="00BF692A"/>
    <w:rsid w:val="00C07F9E"/>
    <w:rsid w:val="00C253A6"/>
    <w:rsid w:val="00C260B6"/>
    <w:rsid w:val="00C26210"/>
    <w:rsid w:val="00C3377B"/>
    <w:rsid w:val="00C46840"/>
    <w:rsid w:val="00C661D2"/>
    <w:rsid w:val="00C8445D"/>
    <w:rsid w:val="00C95741"/>
    <w:rsid w:val="00C96D97"/>
    <w:rsid w:val="00CA4A9F"/>
    <w:rsid w:val="00CC3359"/>
    <w:rsid w:val="00CC4E35"/>
    <w:rsid w:val="00CC59F1"/>
    <w:rsid w:val="00CE10E4"/>
    <w:rsid w:val="00CE3A28"/>
    <w:rsid w:val="00CF50F3"/>
    <w:rsid w:val="00D171C3"/>
    <w:rsid w:val="00D22996"/>
    <w:rsid w:val="00D359C2"/>
    <w:rsid w:val="00D6651A"/>
    <w:rsid w:val="00D82422"/>
    <w:rsid w:val="00D84BBD"/>
    <w:rsid w:val="00D96C06"/>
    <w:rsid w:val="00D96CD2"/>
    <w:rsid w:val="00D97A7D"/>
    <w:rsid w:val="00DA67B7"/>
    <w:rsid w:val="00DB79DC"/>
    <w:rsid w:val="00DE0ABC"/>
    <w:rsid w:val="00DE188F"/>
    <w:rsid w:val="00DF4F39"/>
    <w:rsid w:val="00E01E8E"/>
    <w:rsid w:val="00E0564E"/>
    <w:rsid w:val="00E17FF2"/>
    <w:rsid w:val="00E210BD"/>
    <w:rsid w:val="00E3004A"/>
    <w:rsid w:val="00E40275"/>
    <w:rsid w:val="00E509D9"/>
    <w:rsid w:val="00E545D5"/>
    <w:rsid w:val="00E56C0B"/>
    <w:rsid w:val="00E7340C"/>
    <w:rsid w:val="00E7560A"/>
    <w:rsid w:val="00EA5532"/>
    <w:rsid w:val="00EA6D99"/>
    <w:rsid w:val="00EB7298"/>
    <w:rsid w:val="00EC6418"/>
    <w:rsid w:val="00EF5E68"/>
    <w:rsid w:val="00F000C3"/>
    <w:rsid w:val="00F0569E"/>
    <w:rsid w:val="00F91E1E"/>
    <w:rsid w:val="00F976F1"/>
    <w:rsid w:val="00FC4F1D"/>
    <w:rsid w:val="00FD2F4D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F19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CA4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9AD4-DE00-41AF-8C2D-3F9B1BEA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30</Pages>
  <Words>11817</Words>
  <Characters>67359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141</cp:revision>
  <cp:lastPrinted>2023-04-25T07:55:00Z</cp:lastPrinted>
  <dcterms:created xsi:type="dcterms:W3CDTF">2023-04-24T02:39:00Z</dcterms:created>
  <dcterms:modified xsi:type="dcterms:W3CDTF">2023-04-25T08:36:00Z</dcterms:modified>
</cp:coreProperties>
</file>