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7F0A0C" w:rsidRDefault="005F667A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</w:rPr>
        <w:t>http</w:t>
      </w:r>
      <w:r w:rsidRPr="007F0A0C">
        <w:rPr>
          <w:rFonts w:ascii="TH SarabunPSK" w:hAnsi="TH SarabunPSK" w:cs="TH SarabunPSK"/>
          <w:sz w:val="32"/>
          <w:szCs w:val="32"/>
          <w:cs/>
        </w:rPr>
        <w:t>://</w:t>
      </w:r>
      <w:r w:rsidRPr="007F0A0C">
        <w:rPr>
          <w:rFonts w:ascii="TH SarabunPSK" w:hAnsi="TH SarabunPSK" w:cs="TH SarabunPSK"/>
          <w:sz w:val="32"/>
          <w:szCs w:val="32"/>
        </w:rPr>
        <w:t>www</w:t>
      </w:r>
      <w:r w:rsidRPr="007F0A0C">
        <w:rPr>
          <w:rFonts w:ascii="TH SarabunPSK" w:hAnsi="TH SarabunPSK" w:cs="TH SarabunPSK"/>
          <w:sz w:val="32"/>
          <w:szCs w:val="32"/>
          <w:cs/>
        </w:rPr>
        <w:t>.</w:t>
      </w:r>
      <w:r w:rsidRPr="007F0A0C">
        <w:rPr>
          <w:rFonts w:ascii="TH SarabunPSK" w:hAnsi="TH SarabunPSK" w:cs="TH SarabunPSK"/>
          <w:sz w:val="32"/>
          <w:szCs w:val="32"/>
        </w:rPr>
        <w:t>thaigov</w:t>
      </w:r>
      <w:r w:rsidRPr="007F0A0C">
        <w:rPr>
          <w:rFonts w:ascii="TH SarabunPSK" w:hAnsi="TH SarabunPSK" w:cs="TH SarabunPSK"/>
          <w:sz w:val="32"/>
          <w:szCs w:val="32"/>
          <w:cs/>
        </w:rPr>
        <w:t>.</w:t>
      </w:r>
      <w:r w:rsidRPr="007F0A0C">
        <w:rPr>
          <w:rFonts w:ascii="TH SarabunPSK" w:hAnsi="TH SarabunPSK" w:cs="TH SarabunPSK"/>
          <w:sz w:val="32"/>
          <w:szCs w:val="32"/>
        </w:rPr>
        <w:t>go</w:t>
      </w:r>
      <w:r w:rsidRPr="007F0A0C">
        <w:rPr>
          <w:rFonts w:ascii="TH SarabunPSK" w:hAnsi="TH SarabunPSK" w:cs="TH SarabunPSK"/>
          <w:sz w:val="32"/>
          <w:szCs w:val="32"/>
          <w:cs/>
        </w:rPr>
        <w:t>.</w:t>
      </w:r>
      <w:r w:rsidRPr="007F0A0C">
        <w:rPr>
          <w:rFonts w:ascii="TH SarabunPSK" w:hAnsi="TH SarabunPSK" w:cs="TH SarabunPSK"/>
          <w:sz w:val="32"/>
          <w:szCs w:val="32"/>
        </w:rPr>
        <w:t>th</w:t>
      </w:r>
    </w:p>
    <w:p w:rsidR="005F667A" w:rsidRPr="007F0A0C" w:rsidRDefault="005F667A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7F0A0C" w:rsidRDefault="005F667A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7F0A0C" w:rsidRDefault="005F667A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EB3631" w:rsidRPr="007F0A0C">
        <w:rPr>
          <w:rFonts w:ascii="TH SarabunPSK" w:hAnsi="TH SarabunPSK" w:cs="TH SarabunPSK"/>
          <w:sz w:val="32"/>
          <w:szCs w:val="32"/>
          <w:cs/>
        </w:rPr>
        <w:t>17 มกราคม 2566</w:t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)  เวลา 09.00 น. พลเอก ประยุทธ์  จันทร์โอชา นายกรัฐมนตรี                    เป็นประธานการประชุมคณะรัฐมนตรี ณ </w:t>
      </w:r>
      <w:r w:rsidR="00DD1C0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ตึกสันติไมตรี (หลังนอก)</w:t>
      </w:r>
      <w:r w:rsidRPr="007F0A0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7F0A0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2D2635" w:rsidRPr="007F0A0C" w:rsidRDefault="002D2635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DD1C0B" w:rsidRPr="00DD1C0B" w:rsidTr="00904EA7">
        <w:tc>
          <w:tcPr>
            <w:tcW w:w="9820" w:type="dxa"/>
          </w:tcPr>
          <w:p w:rsidR="00DD1C0B" w:rsidRPr="00DD1C0B" w:rsidRDefault="00DD1C0B" w:rsidP="00DD1C0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D1C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ร่างพระราชกฤษฎีกากำหนดเขตที่ดินที่จะเวนคืน ในท้องที่ตำบลลำพะยา </w:t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อำเภอเมืองยะลา จังหวัดยะลา พ.ศ. ....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ร่างประกาศกระทรวงพาณิชย์ เรื่อง กำหนดให้ไม้ท่อนและไม้แปรรูปเป็นสินค้าที่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ต้องห้ามหรือต้องมีหนังสือรับรอง และให้สิ่งประดิษฐ์ของไม้เป็นสินค้าที่ต้องมี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หนังสือรับรองในการนำเข้ามาในราชอาณาจักร พ.ศ. ....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ร่างประกาศกระทรวงพาณิชย์ เรื่อง กำหนดให้ไม้พะยูงเป็นสินค้าที่ต้องห้าม</w:t>
      </w:r>
      <w:r w:rsidR="00D53E9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>ให้ไม้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ท่อน ไม้แปรรูป และไม้ล้อมบางชนิด เป็นสินค้าที่ต้องขออนุญาต และให้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สิ่งประดิษฐ์ของไม้และถ่านไม้เป็นสินค้าที่ต้องมีหนังสือรับรองในการส่งออกไป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นอกราชอาณาจักร พ.ศ. ....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ร่างกฎกระทรวงยกเว้นค่าธรรมเนียมเกี่ยวกับการจดทะเบียนเครื่องจักร พ.ศ. ....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ร่างพระราชกฤษฎีกากำหนดเขตที่ดินที่จะเวนคืน ในท้องที่ตำบลป่าตอง และ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ตำบลกะทู้ อำเภอกะทู้ จังหวัดภูเก็ต พ.ศ. ....</w:t>
      </w:r>
    </w:p>
    <w:p w:rsidR="00DD1C0B" w:rsidRPr="00DD1C0B" w:rsidRDefault="00DD1C0B" w:rsidP="00DD1C0B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DD1C0B" w:rsidRPr="00DD1C0B" w:rsidTr="00904EA7">
        <w:tc>
          <w:tcPr>
            <w:tcW w:w="9594" w:type="dxa"/>
          </w:tcPr>
          <w:p w:rsidR="00DD1C0B" w:rsidRPr="00DD1C0B" w:rsidRDefault="00DD1C0B" w:rsidP="00DD1C0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D1C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การขอรับการจัดสรรเงินอุดหนุนเป็นรายปีเป็นการจ่ายขาดให้แก่สภาองค์กรของ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ผู้บริโภค (งบประมาณรายจ่ายประจำปีงบประมาณ พ.ศ. 2567</w:t>
      </w:r>
      <w:r w:rsidR="00D53E93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ขอยกเว้นมติคณะรัฐมนตรีห้ามใช้ประโยชน์ป่าชายเลน ในการขอใช้ประโยชน์พื้นที่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ป่าชายเลนบริเวณตำบลรูสะมิแล อำเภอเมือง จังหวัดปัตตานี เพื่อขยายพื้นที่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สำหรับการดำเนินการจัดการเรียนการสอนของสถาบันวิทยาลัยชุมชน วิทยาลัย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ชุมชนปัตตานี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การพิจารณากำหนด “วันความปลอดภัยของผู้ใช้ถนน”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9.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ภาวะสังคมไทยไตรมาสสาม ปี 2565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10.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รายงานผลการปฏิบัติงานของคณะกรรมการธรรมาภิบาลจังหวัด ประจำปี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งบประมาณ พ.ศ. 2565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11.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หลักเกณฑ์ วิธีการ และเงื่อนไขการกำหนดค่าใช้จ่ายในการดำเนินการผู้ป่วย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ฉุกเฉินวิกฤต (ฉบับที่ 4) 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12.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ขออนุมัติงบกลาง รายการเงินสำรองจ่ายเพื่อกรณีฉุกเฉินหรือจำเป็น เพื่อใช้เป็น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ค่าใช้จ่ายในการจัดหาเครื่องสูบน้ำแบบเคลื่อนที่เร็วขับเคลื่อนด้วยระบบไฮดรอลิค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13.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ขออนุมัติดำเนินโครงการอ่างเก็บน้ำน้ำกิ จังหวัดน่าน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 w:hint="cs"/>
          <w:sz w:val="32"/>
          <w:szCs w:val="32"/>
          <w:cs/>
        </w:rPr>
        <w:t xml:space="preserve">14. </w:t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เรื่อง  </w:t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(ร่าง) แผนแม่บทการบริหารจัดการแร่ ฉบับที่ 2 (พ.ศ. 2566-2570) 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15.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(ร่าง) แผนแม่บทภายใต้ยุทธศาสตร์ชาติ (พ.ศ. 2566 - 2580) (ฉบับแก้ไขเพิ่มเติม)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16.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สรุปมติการประชุมคณะกรรมการนโยบายปาล์มน้ำมันแห่งชาติ ครั้งที่ 3/2565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17.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การกำหนดสินค้าควบคุมตามพระราชบัญญัติว่าด้วยราคาสินค้าและบริการ </w:t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พ.ศ. 2542</w:t>
      </w:r>
    </w:p>
    <w:p w:rsidR="00DD1C0B" w:rsidRPr="00DD1C0B" w:rsidRDefault="00DD1C0B" w:rsidP="00DD1C0B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DD1C0B" w:rsidRPr="00DD1C0B" w:rsidTr="00904EA7">
        <w:tc>
          <w:tcPr>
            <w:tcW w:w="9820" w:type="dxa"/>
          </w:tcPr>
          <w:p w:rsidR="00DD1C0B" w:rsidRPr="00DD1C0B" w:rsidRDefault="00DD1C0B" w:rsidP="00DD1C0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D1C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18.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การรับรองแผนพัฒนาร่วมระหว่างยุทธศาสตร์ความร่วมมือทางเศรษฐกิจอิรวดี-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เจ้าพระยา-แม่โขงกับหุ้นส่วนเพื่อการพัฒนา  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19.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ผลการประชุมรัฐมนตรีด้านการศึกษาอาเซียน ครั้งที่ 12 และการประชุมที่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เกี่ยวข้องและการเป็นประธานการประชุมด้านการศึกษาอาเซียน ระหว่างปี </w:t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พ.ศ. </w:t>
      </w:r>
      <w:r w:rsidRPr="00DD1C0B">
        <w:rPr>
          <w:rFonts w:ascii="TH SarabunPSK" w:eastAsia="Calibri" w:hAnsi="TH SarabunPSK" w:cs="TH SarabunPSK"/>
          <w:sz w:val="32"/>
          <w:szCs w:val="32"/>
        </w:rPr>
        <w:t>2567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DD1C0B">
        <w:rPr>
          <w:rFonts w:ascii="TH SarabunPSK" w:eastAsia="Calibri" w:hAnsi="TH SarabunPSK" w:cs="TH SarabunPSK"/>
          <w:sz w:val="32"/>
          <w:szCs w:val="32"/>
        </w:rPr>
        <w:t>2568</w:t>
      </w:r>
    </w:p>
    <w:p w:rsidR="00DD1C0B" w:rsidRPr="00DD1C0B" w:rsidRDefault="00DD1C0B" w:rsidP="00DD1C0B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20.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การจัดทำแผนปฏิบัติการร่วมระหว่างราชอาณาจักรไทยและสาธารณรัฐตุรกี </w:t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ฉบับที่ 2 (ค.ศ. 2023 - 2028)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21.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เอกสารผลลัพธ์การประชุมคณะกรรมการร่วมว่าด้วยความร่วมมือทางเศรษฐกิจ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และวิชาการ ไทย-ตุรกี ครั้งที่ 4</w:t>
      </w:r>
    </w:p>
    <w:p w:rsidR="00DD1C0B" w:rsidRPr="00DD1C0B" w:rsidRDefault="00DD1C0B" w:rsidP="00DD1C0B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DD1C0B" w:rsidRPr="00DD1C0B" w:rsidTr="00904EA7">
        <w:tc>
          <w:tcPr>
            <w:tcW w:w="9820" w:type="dxa"/>
          </w:tcPr>
          <w:p w:rsidR="00DD1C0B" w:rsidRPr="00DD1C0B" w:rsidRDefault="00DD1C0B" w:rsidP="00DD1C0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D1C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DD1C0B" w:rsidRPr="00DD1C0B" w:rsidRDefault="00DD1C0B" w:rsidP="00DD1C0B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22.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ทรงคุณวุฒิ (กระทรวงสาธารณสุข) 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23.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ทรงคุณวุฒิ (สำนักงานป้องกันและปราบปรามการฟอกเงิน) 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ordia New" w:hAnsi="TH SarabunPSK" w:cs="TH SarabunPSK"/>
          <w:spacing w:val="-6"/>
          <w:sz w:val="32"/>
          <w:szCs w:val="32"/>
        </w:rPr>
      </w:pPr>
      <w:r w:rsidRPr="00DD1C0B"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24. </w:t>
      </w:r>
      <w:r w:rsidRPr="00DD1C0B"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  <w:t xml:space="preserve">เรื่อง  </w:t>
      </w:r>
      <w:r w:rsidRPr="00DD1C0B"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การแต่งตั้งข้าราชการพลเรือนสามัญให้ดำรงตำแหน่งประเภทบริหารระดับสูง </w:t>
      </w:r>
      <w:r w:rsidRPr="00DD1C0B"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  <w:t>(กระทรวงการต่างประเทศ)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25. </w:t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เรื่อง  </w:t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 (สำนักเลขาธิการนายกรัฐมนตรี) 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26. </w:t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การพิจารณาแต่งตั้งกรรมการในคณะกรรมการสภาวิศวกร 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 w:hint="cs"/>
          <w:sz w:val="32"/>
          <w:szCs w:val="32"/>
          <w:cs/>
        </w:rPr>
        <w:t xml:space="preserve">27. </w:t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เรื่อง  </w:t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  <w:t>ขอยกเลิกมติคณะรัฐมนตรีเมื่อวันที่ 20 ธันวาคม 2565 เรื่อง การแต่งตั้ง</w:t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ข้าราชการพลเรือนสามัญให้ดำรงตำแหน่งประเภทบริหารระดับสูง ราย นายวัลลพ </w:t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สงวนนาม 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28.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แต่งตั้งคณะกรรมการพิจารณาค่าตอบแทนกำลังคนด้านสาธารณสุข และ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คณะอนุกรรมการพิจารณาพื้นที่พิเศษสำหรับค่าตอบแทนเบี้ยเลี้ยงเหมาจ่าย </w:t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ตามระเบียบกระทรวงการคลังว่าด้วยการเบิกจ่ายค่าตอบแทนเบี้ยเลี้ยงเหมาจ่าย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สำหรับกำลังคนด้านสาธารณสุขที่ปฏิบัติงานในพื้นที่พิเศษ พ.ศ. 2548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5E7371" w:rsidRDefault="005E7371" w:rsidP="005E7371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5E7371">
        <w:rPr>
          <w:rFonts w:ascii="TH SarabunPSK" w:hAnsi="TH SarabunPSK" w:cs="TH SarabunPSK"/>
          <w:sz w:val="32"/>
          <w:szCs w:val="32"/>
        </w:rPr>
        <w:t>_________________________________</w:t>
      </w:r>
      <w:r>
        <w:rPr>
          <w:rFonts w:ascii="TH SarabunPSK" w:hAnsi="TH SarabunPSK" w:cs="TH SarabunPSK"/>
          <w:sz w:val="32"/>
          <w:szCs w:val="32"/>
        </w:rPr>
        <w:t>__________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2635" w:rsidRPr="007F0A0C" w:rsidRDefault="002D2635" w:rsidP="007F0A0C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D2635" w:rsidRPr="007F0A0C" w:rsidTr="002F77E3">
        <w:tc>
          <w:tcPr>
            <w:tcW w:w="9820" w:type="dxa"/>
          </w:tcPr>
          <w:p w:rsidR="002D2635" w:rsidRPr="007F0A0C" w:rsidRDefault="002D2635" w:rsidP="007F0A0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610449" w:rsidRPr="007F0A0C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 </w:t>
      </w:r>
      <w:r w:rsidR="00610449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ร่างพระราชกฤษฎีกากำหนดเขตที่ดินที่จะเวนคืน ในท้องที่ตำบลลำพะยา อำเภอเมืองยะลา จังหวัดยะลา พ.ศ. ....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คณะรัฐมนตรีมีมติอนุมัติหลักการร่างพระราชกฤษฎีกากำหนดเขตที่ดินที่จะเวนคืนในท้องที่ตำบลลำพะยา อำเภอเมืองยะลา จังหวัดยะลา พ.ศ. .... ตามที่กระทรวงเกษตรและสหกรณ์ (กษ.) เสนอ และให้ส่งสำนักงานคณะกรรมการกฤษฎีกาตรวจพิจารณา และดำเนินการต่อไปได้ และให้กระทรวงเกษตรและสหกรณ์รับความเห็นของ กระทรวงคมนาคม กระทรวงทรัพยากรธรรมชาติและสิ่งแวดล้อม สำนักงานสภาพัฒนาการเศรษฐกิจและสังคมแห่งชาติและสำนักงานคณะกรรมการกฤษฎีกาไปพิจารณาดำเนินการต่อไปด้วย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ร่างพระกฤษฎีกาฯ ที่ กษ. เสนอ เป็นการกำหนดเขตที่ดินที่จะเวนคืน ในท้องที่ตำบลลำพะยา อำเภอเมืองยะลา จังหวัดยะลา เพื่อก่อสร้างทำนบดิน อาคารหัวงาน และอาคารประกอบพร้อมส่วนประกอบอื่น    ตามโครงการอ่างเก็บน้ำลำพะยาอันเนื่องมาจากพระราชดำริ ตำบลลำพะยา อำเภอเมืองยะลา จังหวัดยะลา มีกำหนดใช้บังคับ 3 ปี โดยให้เริ่มต้นเข้าสำรวจที่ดินและอสังหาริมทรัพย์ที่อยู่ภายในแนวเขตที่ดินที่จะเวนคืน ภายใน 60 วัน นับแต่วันที่พระราชกฤษฎีกานี้ใช้บังคับ ทั้งนี้ เพื่อประโยชน์แก่การชลประทานสำหรับพื้นที่การเกษตร การอุปโภค  และบริโภค ตลอดจนการป้องกันและบรรเทาอุทกภัย รวมทั้งเพื่อให้เจ้าหน้าที่หรือพนักงานเจ้าหน้าที่มีสิทธิเข้าไปสำรวจและเพื่อให้ทราบข้อเท็จจริงเกี่ยวกับอสังหาริมทรัพย์ที่จะต้องได้มาโดยแน่ชัด ซึ่งเมื่อโครงการนี้แล้วเสร็จจะเป็นแหล่งกักเก็บน้ำช่วยเหลือพื้นที่เพาะปลูกของราษฎรที่ใช้น้ำจากโครงการฝายทดน้ำลำพะยาทั้งในฤดูฝนและฤดูแล้งประมาณ 8</w:t>
      </w:r>
      <w:r w:rsidRPr="007F0A0C">
        <w:rPr>
          <w:rFonts w:ascii="TH SarabunPSK" w:eastAsia="Calibri" w:hAnsi="TH SarabunPSK" w:cs="TH SarabunPSK"/>
          <w:sz w:val="32"/>
          <w:szCs w:val="32"/>
        </w:rPr>
        <w:t>,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100 ไร่ และเป็นแหล่งกักเก็บน้ำเพื่อใช้ในการอุปโภคบริโภคในฤดูแล้งของราษฎร และสัตว์เลี้ยงที่อาศัยอยู่ในเขตโครงการ และบริเวณใกล้เคียงที่ประสบปัญหาการขาดแคลนน้ำในฤดูแล้ง ประมาณ 690 ครัวเรือน ประชากรประมาณ 3</w:t>
      </w:r>
      <w:r w:rsidRPr="007F0A0C">
        <w:rPr>
          <w:rFonts w:ascii="TH SarabunPSK" w:eastAsia="Calibri" w:hAnsi="TH SarabunPSK" w:cs="TH SarabunPSK"/>
          <w:sz w:val="32"/>
          <w:szCs w:val="32"/>
        </w:rPr>
        <w:t>,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450 คน รวมทั้งบรรเทาอุทกภัยบริเวณพื้นที่เพาะปลูกซึ่งอยู่ตอนล่างของพื้นที่โครงการในช่วงฤดูน้ำหลาก โดยกรมการปกครองได้ตรวจสอบความถูกต้องของท้องที่การปกครองและแนวเขตการปกครองตามมติคณะรัฐมนตรี (22 มีนาคม 2565) [เรื่อง แนวทางปฏิบัติเกี่ยวกับกรณีการตราร่างกฎหมายหรือร่างอนุบัญญัติที่ต้องจัดให้มีแล้วแผนที่ท้าย] แล้วซึ่งกระทรวงเกษตรและสหกรณ์ได้แก้ไขรายละเอียดแผนที่ท้ายพระราชกฤษฎีกาตามผลการตรวจสอบของกรมการปกครองด้วยแล้ว และสำนักงบประมาณแจ้งว่าจะจัดสรรงบประมาณรายจ่ายประจำปีตามความจำเป็น    และเหมาะสมต่อไป เมื่อร่างพระราชกฤษฎีกาใช้บังคับแล้ว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กำหนดเขตที่ดินที่จะเวนคืน ในท้องที่ตำบลลำพะยา อำเภอเมืองยะลา จังหวัดยะลา เพื่อประโยชน์แก่การชลประทาน ในการก่อสร้างทำนบดิน อาคารหัวงาน และอาคารประกอบพร้อมส่วนประกอบอื่น ตามโครงการอ่างเก็บน้ำลำพะยาอันเนื่องมาจากพระราชดำริ ตำบลลำพะยา อำเภอเมืองยะลา จังหวัดยะลา มีกำหนดใช้บังคับ 3 ปี โดยให้เริ่มต้นเข้าสำรวจที่ดินและอสังหาริมทรัพย์ที่อยู่ภายในแนวเขตที่ดินที่จะเวนคืน ภายใน 60 วัน นับแต่วันที่พระราชกฤษฎีกานี้ใช้บังคับ</w:t>
      </w:r>
    </w:p>
    <w:p w:rsidR="002D2635" w:rsidRPr="007F0A0C" w:rsidRDefault="002D2635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F77E3" w:rsidRPr="007F0A0C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2. </w:t>
      </w:r>
      <w:r w:rsidR="002F77E3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ร่างประกาศกระทรวงพาณิชย์ เรื่อง กำหนดให้ไม้ท่อนและไม้แปรรูปเป็นสินค้าที่ต้องห้ามหรือต้องมีหนังสือรับรอง และให้สิ่งประดิษฐ์ของไม้เป็นสินค้าที่ต้องมีหนังสือรับรองในการนำเข้ามาในราชอาณาจักร </w:t>
      </w:r>
      <w:r w:rsidR="00C869F9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</w:t>
      </w:r>
      <w:r w:rsidR="002F77E3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พ.ศ. ....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คณะรัฐมนตรีมีมติเห็นชอบในหลักการร่างประกาศกระทรวงพาณิชย์ เรื่อง กำหนดให้ไม้ท่อนและไม้แปรรูปเป็นสินค้าที่ต้องห้ามหรือต้องมีหนังสือรับรอง และให้สิ่งประดิษฐ์ของไม้เป็นสินค้า ที่ต้องมีหนังสือรับรองในการนำเข้ามาในราชอาณาจักร พ.ศ. .... ตามที่กระทรวงพาณิชย์ (พณ.) 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โดยให้รับความเห็นของสำนักงานคณะกรรมการกฤษฎีกาไปประกอบการพิจารณาด้วย แล้วดำเนินการต่อไปได้ และให้กระทรวงพาณิชย์รับความเห็นของกระทรวงการต่างประเทศไปพิจารณาดำเนินการต่อไปด้วย 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ทั้งนี้ ร่างประกาศฯ ที่กระทรวงพาณิชย์เสนอ เป็นการปรับปรุงมาตรการในการนำเข้าไม้ท่อน </w:t>
      </w:r>
      <w:r w:rsidR="00C869F9"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ไม้แปรรูปบางชนิด และสิ่งประดิษฐ์จากไม้เข้ามาในราชอาณาจักรให้เหมาะสมและสอดคล้องกับสถานการณ์ปัจจุบัน 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สาระสำคัญของร่างประกาศ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1.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ยกเลิกประกาศกระทรวงพาณิชย์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ว่าด้วยการนำสินค้าเข้ามาในราชอาณาจักร (ฉบับที่ 92) </w:t>
      </w:r>
      <w:r w:rsidR="00C869F9"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พ.ศ. 2535 และ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ประกาศกระทรวงพาณิชย์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เรื่องการนำไม้และไม้แปรรูป รวมทั้งสิ่งประดิษฐ์ เครื่องใช้ หรือสิ่งอื่นใดที่ทำด้วยไม้เข้ามาในราชอาณาจักรตามแนวชายแดนจังหวัดตาก และจังหวัดกาญจนบุรี พ.ศ. 2548 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ปรับปรุงประเด็นต่าง ๆ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1979"/>
        <w:gridCol w:w="3826"/>
        <w:gridCol w:w="3789"/>
      </w:tblGrid>
      <w:tr w:rsidR="002F77E3" w:rsidRPr="007F0A0C" w:rsidTr="002F77E3">
        <w:tc>
          <w:tcPr>
            <w:tcW w:w="1980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ประเด็น</w:t>
            </w:r>
          </w:p>
        </w:tc>
        <w:tc>
          <w:tcPr>
            <w:tcW w:w="3827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ตามประกาศ พณ.ฯ (ฉบับที่ 92) ปี 2535 และ ประกาศ พณ. เรื่อง การนำไม้และไม้แปรรูป ฯ ปี 2548</w:t>
            </w:r>
          </w:p>
        </w:tc>
        <w:tc>
          <w:tcPr>
            <w:tcW w:w="3790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ร่างประกาศ พณ. เรื่อง กำหนดให้ไม้ท่อนและไม้แปรรูป ฯ</w:t>
            </w:r>
          </w:p>
        </w:tc>
      </w:tr>
      <w:tr w:rsidR="002F77E3" w:rsidRPr="007F0A0C" w:rsidTr="002F77E3">
        <w:tc>
          <w:tcPr>
            <w:tcW w:w="198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1. </w:t>
            </w:r>
            <w:r w:rsidRPr="007F0A0C">
              <w:rPr>
                <w:rFonts w:eastAsia="Calibri"/>
                <w:b/>
                <w:bCs/>
                <w:cs/>
              </w:rPr>
              <w:t>การนำเข้าไม้ท่อนและไม้แปรรูป</w:t>
            </w:r>
            <w:r w:rsidRPr="007F0A0C">
              <w:rPr>
                <w:rFonts w:eastAsia="Calibri"/>
                <w:cs/>
              </w:rPr>
              <w:t>เฉพาะที่มีชื่อหรือชนิดตรงกับไม้หวงห้ามตามกฎหมายว่าด้วยป่าไม้</w:t>
            </w:r>
          </w:p>
        </w:tc>
        <w:tc>
          <w:tcPr>
            <w:tcW w:w="3827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ห้ามนำเข้าไม้ท่อน ไม้แปรรูปทางด่านศุลกากรในเขตจังหวัดตามแนวชายแดนจังหวัดตากและจังหวัดกาญจนบุรี</w:t>
            </w:r>
          </w:p>
        </w:tc>
        <w:tc>
          <w:tcPr>
            <w:tcW w:w="379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ห้ามนำเข้าเฉพาะไม้ท่อนทางด่านศุลกากรในเขตจังหวัดตาก และจังหวัดกาญจนบุรี (</w:t>
            </w:r>
            <w:r w:rsidRPr="007F0A0C">
              <w:rPr>
                <w:rFonts w:eastAsia="Calibri"/>
                <w:b/>
                <w:bCs/>
                <w:cs/>
              </w:rPr>
              <w:t>คงเดิม</w:t>
            </w:r>
            <w:r w:rsidRPr="007F0A0C">
              <w:rPr>
                <w:rFonts w:eastAsia="Calibri"/>
                <w:cs/>
              </w:rPr>
              <w:t xml:space="preserve">) 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ห้ามนำเข้าไม้ท่อนและไม้แปรรูปทางด่านศุลกากรในเขตจังหวัดแม่ฮ่องสอน </w:t>
            </w:r>
            <w:r w:rsidR="00C869F9" w:rsidRPr="007F0A0C">
              <w:rPr>
                <w:rFonts w:eastAsia="Calibri"/>
                <w:cs/>
              </w:rPr>
              <w:t xml:space="preserve">       </w:t>
            </w:r>
            <w:r w:rsidRPr="007F0A0C">
              <w:rPr>
                <w:rFonts w:eastAsia="Calibri"/>
                <w:cs/>
              </w:rPr>
              <w:t>(</w:t>
            </w:r>
            <w:r w:rsidRPr="007F0A0C">
              <w:rPr>
                <w:rFonts w:eastAsia="Calibri"/>
                <w:b/>
                <w:bCs/>
                <w:cs/>
              </w:rPr>
              <w:t>เพิ่มจังหวัดแม่ฮ่องสอนขึ้นใหม่</w:t>
            </w:r>
            <w:r w:rsidRPr="007F0A0C">
              <w:rPr>
                <w:rFonts w:eastAsia="Calibri"/>
                <w:cs/>
              </w:rPr>
              <w:t>ตามคำร้องขอของกรมป่าไม้ เนื่องจากจังหวัดดังกล่าวมีทรัพยากรป่าไม้สมบูรณ์ และมีการบุกรุกตัดไม้ในพื้นที่จำนวนมาก อาจมีปัญหาการสวมรอยไม้ขึ้นได้)</w:t>
            </w:r>
          </w:p>
        </w:tc>
      </w:tr>
      <w:tr w:rsidR="002F77E3" w:rsidRPr="007F0A0C" w:rsidTr="002F77E3">
        <w:tc>
          <w:tcPr>
            <w:tcW w:w="198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2. </w:t>
            </w:r>
            <w:r w:rsidRPr="007F0A0C">
              <w:rPr>
                <w:rFonts w:eastAsia="Calibri"/>
                <w:b/>
                <w:bCs/>
                <w:cs/>
              </w:rPr>
              <w:t>มาตรการนำเข้า</w:t>
            </w:r>
            <w:r w:rsidRPr="007F0A0C">
              <w:rPr>
                <w:rFonts w:eastAsia="Calibri"/>
                <w:b/>
                <w:bCs/>
                <w:spacing w:val="-14"/>
                <w:cs/>
              </w:rPr>
              <w:t>ไม้อื่น ๆ</w:t>
            </w:r>
            <w:r w:rsidRPr="007F0A0C">
              <w:rPr>
                <w:rFonts w:eastAsia="Calibri"/>
                <w:spacing w:val="-14"/>
                <w:cs/>
              </w:rPr>
              <w:t xml:space="preserve"> นอกเหนือจาก</w:t>
            </w:r>
            <w:r w:rsidRPr="007F0A0C">
              <w:rPr>
                <w:rFonts w:eastAsia="Calibri"/>
                <w:cs/>
              </w:rPr>
              <w:t>ที่ห้ามนำเข้าตามกฎหมายว่าด้วยป่าไม้และ</w:t>
            </w:r>
            <w:r w:rsidRPr="007F0A0C">
              <w:rPr>
                <w:rFonts w:eastAsia="Calibri"/>
                <w:b/>
                <w:bCs/>
                <w:cs/>
              </w:rPr>
              <w:t>ด่านศุลกากรที่ พณ. กำหนด</w:t>
            </w:r>
            <w:r w:rsidRPr="007F0A0C">
              <w:rPr>
                <w:rFonts w:eastAsia="Calibri"/>
                <w:cs/>
              </w:rPr>
              <w:t>ให้นำเข้า</w:t>
            </w:r>
          </w:p>
        </w:tc>
        <w:tc>
          <w:tcPr>
            <w:tcW w:w="3827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ไม้และไม้แปรรูปทุกชนิด รวมทั้งสิ่งประดิษฐ์ เครื่องใช้ หรือสิ่งอื่นใด ที่ทำด้วยไม้ที่นำเข้ามาทางด่านศุลกากรที่ พณ. กำหนด ต้องมีใบรับรองถิ่นกำเนิดสินค้า หรือหลักฐานการอนุญาตให้ส่งออกแสดงต่อกรมศุลกากรประกอบการนำเข้า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ไม้ซุงต้องมีตราประทับของประเทศผู้ผลิต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สิ่งประดิษฐ์ เครื่องใช้ หรือสิ่งอื่นใดที่ทำด้วยไม้กรณีนำเข้าตามแนวชายแดนจังหวัดตากและจังหวัดกาญจนบุรี โดยผู้ที่ได้จดทะเบียนกับกรมพัฒนาธุรกิจการค้าและจดทะเบียนขออนุญาตตั้งโรงค้าสิ่งประดิษฐ์กับกรมป่าไม้ ได้รับ</w:t>
            </w:r>
            <w:r w:rsidRPr="007F0A0C">
              <w:rPr>
                <w:rFonts w:eastAsia="Calibri"/>
                <w:u w:val="single"/>
                <w:cs/>
              </w:rPr>
              <w:t>ยกเว้น</w:t>
            </w:r>
            <w:r w:rsidRPr="007F0A0C">
              <w:rPr>
                <w:rFonts w:eastAsia="Calibri"/>
                <w:cs/>
              </w:rPr>
              <w:t>ไม่ต้องมีใบรับรองถิ่นกำเนิดสินค้า หรือหลักฐานการอนุญาตให้ส่งออกประกอบการนำเข้า</w:t>
            </w:r>
          </w:p>
        </w:tc>
        <w:tc>
          <w:tcPr>
            <w:tcW w:w="379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</w:t>
            </w:r>
            <w:r w:rsidRPr="007F0A0C">
              <w:rPr>
                <w:rFonts w:eastAsia="Calibri"/>
                <w:b/>
                <w:bCs/>
                <w:cs/>
              </w:rPr>
              <w:t xml:space="preserve">ไม้ท่อน </w:t>
            </w:r>
            <w:r w:rsidRPr="007F0A0C">
              <w:rPr>
                <w:rFonts w:eastAsia="Calibri"/>
                <w:cs/>
              </w:rPr>
              <w:t xml:space="preserve">(เดิมเรียกไม้ซุง) </w:t>
            </w:r>
            <w:r w:rsidRPr="007F0A0C">
              <w:rPr>
                <w:rFonts w:eastAsia="Calibri"/>
                <w:b/>
                <w:bCs/>
                <w:cs/>
              </w:rPr>
              <w:t xml:space="preserve">ไม้แปรรูป และสิ่งประดิษฐ์ของไม้ ต้องมีใบรับรองถิ่นกำเนิดสินค้า หรือหลักฐานการอนุญาตให้ส่งออกแสดงต่อกรมศุลกากรประกอบการนำเข้าทุกด่านศุลกากร </w:t>
            </w:r>
            <w:r w:rsidRPr="007F0A0C">
              <w:rPr>
                <w:rFonts w:eastAsia="Calibri"/>
                <w:cs/>
              </w:rPr>
              <w:t>(ยกเลิกการมีตราประทับและยกเลิกด่านศุลกากรที่ พณ. กำหนด)</w:t>
            </w:r>
          </w:p>
        </w:tc>
      </w:tr>
      <w:tr w:rsidR="002F77E3" w:rsidRPr="007F0A0C" w:rsidTr="002F77E3">
        <w:tc>
          <w:tcPr>
            <w:tcW w:w="198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3. </w:t>
            </w:r>
            <w:r w:rsidRPr="007F0A0C">
              <w:rPr>
                <w:rFonts w:eastAsia="Calibri"/>
                <w:b/>
                <w:bCs/>
                <w:cs/>
              </w:rPr>
              <w:t>การห้ามนำเข้าไม้พะยูงจากประเทศเพื่อนบ้าน</w:t>
            </w:r>
          </w:p>
        </w:tc>
        <w:tc>
          <w:tcPr>
            <w:tcW w:w="3827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เดิมไม่มี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[</w:t>
            </w:r>
            <w:r w:rsidRPr="007F0A0C">
              <w:rPr>
                <w:rFonts w:eastAsia="Calibri"/>
                <w:b/>
                <w:bCs/>
                <w:cs/>
              </w:rPr>
              <w:t>เป็นมติคณะรัฐมนตรี (11 พ.ย. 51) เรื่อง ห้ามการนำเข้าไม้และสิ่งประดิษฐ์ที่ทำด้วยไม้พะยูง รวมทั้งห้ามการส่งออกไปนอกราชอาณาจักร</w:t>
            </w:r>
            <w:r w:rsidRPr="007F0A0C">
              <w:rPr>
                <w:rFonts w:eastAsia="Calibri"/>
                <w:cs/>
              </w:rPr>
              <w:t xml:space="preserve"> โดยกำหนดห้ามการนำเข้าไม้และสิ่งประดิษฐ์ที่ทำด้วยไม้พะยูงจากประเทศกัมพูชา และประเทศลาว รวมทั้งห้ามการส่งออกไม้พะยูงทุกกรณีออกไปนอกราชอาณาจักร และให้ พณ. รับไปพิจารณาในการออกประกาศห้ามนำเข้า และส่งออกไม้พะยูงตาม พ.ร.บ. การส่งออกไปและการนำเข้ามาในราชอาณาจักรซึ่งสินค้า พ.ศ. 2522 ต่อไป]</w:t>
            </w:r>
          </w:p>
        </w:tc>
        <w:tc>
          <w:tcPr>
            <w:tcW w:w="379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ห้ามนำเข้าไม้พะยูงท่อน ไม้พะยูงแปรรูป หรือสิ่งประดิษฐ์ที่ทำจากไม้พะยูงที่นำเข้าจากประเทศกัมพูชาและประเทศลาว </w:t>
            </w:r>
            <w:r w:rsidR="00C869F9" w:rsidRPr="007F0A0C">
              <w:rPr>
                <w:rFonts w:eastAsia="Calibri"/>
                <w:cs/>
              </w:rPr>
              <w:t xml:space="preserve">    </w:t>
            </w:r>
            <w:r w:rsidRPr="007F0A0C">
              <w:rPr>
                <w:rFonts w:eastAsia="Calibri"/>
                <w:cs/>
              </w:rPr>
              <w:t>(</w:t>
            </w:r>
            <w:r w:rsidRPr="007F0A0C">
              <w:rPr>
                <w:rFonts w:eastAsia="Calibri"/>
                <w:b/>
                <w:bCs/>
                <w:cs/>
              </w:rPr>
              <w:t>เพิ่มใหม่</w:t>
            </w:r>
            <w:r w:rsidRPr="007F0A0C">
              <w:rPr>
                <w:rFonts w:eastAsia="Calibri"/>
                <w:cs/>
              </w:rPr>
              <w:t xml:space="preserve"> เดิมเป็นมติคณะรัฐมนตรี </w:t>
            </w:r>
            <w:r w:rsidR="00C869F9" w:rsidRPr="007F0A0C">
              <w:rPr>
                <w:rFonts w:eastAsia="Calibri"/>
                <w:cs/>
              </w:rPr>
              <w:t xml:space="preserve">          </w:t>
            </w:r>
            <w:r w:rsidRPr="007F0A0C">
              <w:rPr>
                <w:rFonts w:eastAsia="Calibri"/>
                <w:cs/>
              </w:rPr>
              <w:t>ซึ่งที่ประชุม คปช. เห็นชอบให้นำมาใส่เพิ่มเติมเพื่อให้มีผลบังคับใช้ตามกฎหมายเป็นการทั่วไป)</w:t>
            </w:r>
          </w:p>
        </w:tc>
      </w:tr>
      <w:tr w:rsidR="002F77E3" w:rsidRPr="007F0A0C" w:rsidTr="002F77E3">
        <w:tc>
          <w:tcPr>
            <w:tcW w:w="198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lastRenderedPageBreak/>
              <w:t xml:space="preserve">4. </w:t>
            </w:r>
            <w:r w:rsidRPr="00EB692F">
              <w:rPr>
                <w:rFonts w:eastAsia="Calibri"/>
                <w:b/>
                <w:bCs/>
                <w:cs/>
              </w:rPr>
              <w:t>วันที่ให้มีผลใช้บังคับ</w:t>
            </w:r>
          </w:p>
        </w:tc>
        <w:tc>
          <w:tcPr>
            <w:tcW w:w="3827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</w:p>
        </w:tc>
        <w:tc>
          <w:tcPr>
            <w:tcW w:w="379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เมื่อพ้นกำหนด 60 วันนับแต่วันที่ประกาศในราชกิจจานุเบกษาเป็นต้นไป</w:t>
            </w:r>
          </w:p>
        </w:tc>
      </w:tr>
      <w:tr w:rsidR="002F77E3" w:rsidRPr="007F0A0C" w:rsidTr="002F77E3">
        <w:tc>
          <w:tcPr>
            <w:tcW w:w="198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5. </w:t>
            </w:r>
            <w:r w:rsidRPr="00EB692F">
              <w:rPr>
                <w:rFonts w:eastAsia="Calibri"/>
                <w:b/>
                <w:bCs/>
                <w:cs/>
              </w:rPr>
              <w:t>อื่น ๆ</w:t>
            </w:r>
            <w:r w:rsidRPr="007F0A0C">
              <w:rPr>
                <w:rFonts w:eastAsia="Calibri"/>
                <w:cs/>
              </w:rPr>
              <w:t xml:space="preserve"> </w:t>
            </w:r>
          </w:p>
        </w:tc>
        <w:tc>
          <w:tcPr>
            <w:tcW w:w="3827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เดิมไม่มี</w:t>
            </w:r>
          </w:p>
        </w:tc>
        <w:tc>
          <w:tcPr>
            <w:tcW w:w="379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กำหนดนิยามคำว่า “สิ่งประดิษฐ์” หมายความว่า ตู้ โต๊ะ เตียง เก้าอี้ </w:t>
            </w:r>
            <w:r w:rsidR="00C869F9" w:rsidRPr="007F0A0C">
              <w:rPr>
                <w:rFonts w:eastAsia="Calibri"/>
                <w:cs/>
              </w:rPr>
              <w:t xml:space="preserve">            </w:t>
            </w:r>
            <w:r w:rsidRPr="007F0A0C">
              <w:rPr>
                <w:rFonts w:eastAsia="Calibri"/>
                <w:cs/>
              </w:rPr>
              <w:t xml:space="preserve">บานประตู บานหน้าต่าง ไม้วงกบ ไม้คิ้ว </w:t>
            </w:r>
            <w:r w:rsidR="00C869F9" w:rsidRPr="007F0A0C">
              <w:rPr>
                <w:rFonts w:eastAsia="Calibri"/>
                <w:cs/>
              </w:rPr>
              <w:t xml:space="preserve">    </w:t>
            </w:r>
            <w:r w:rsidRPr="007F0A0C">
              <w:rPr>
                <w:rFonts w:eastAsia="Calibri"/>
                <w:cs/>
              </w:rPr>
              <w:t xml:space="preserve">ไม้บัว และอาคารสำเร็จรูปที่ทำจากไม้ทุกชนิด แผ่นชิ้นไม้อัด (พาร์ติเคิลบอร์ด) </w:t>
            </w:r>
            <w:r w:rsidR="00C869F9" w:rsidRPr="007F0A0C">
              <w:rPr>
                <w:rFonts w:eastAsia="Calibri"/>
                <w:cs/>
              </w:rPr>
              <w:t xml:space="preserve">    </w:t>
            </w:r>
            <w:r w:rsidRPr="007F0A0C">
              <w:rPr>
                <w:rFonts w:eastAsia="Calibri"/>
                <w:cs/>
              </w:rPr>
              <w:t xml:space="preserve">แผ่นชิ้นไม้อัดเรียงแถว (โอเอสบี) แผ่นไม้ที่คล้ายกันทำด้วยไม้หรือวัตถุอื่น ๆ จำพวกไม้ไฟเบอร์บอร์ด ไม้อัดพลายวูด ไม้อัดวีเนียร์ </w:t>
            </w:r>
            <w:r w:rsidRPr="007F0A0C">
              <w:rPr>
                <w:rFonts w:eastAsia="Calibri"/>
                <w:spacing w:val="-6"/>
                <w:cs/>
              </w:rPr>
              <w:t>และลามิเนเต็ดวูดที่คล้ายกัน เครื่องประกอบ</w:t>
            </w:r>
            <w:r w:rsidRPr="007F0A0C">
              <w:rPr>
                <w:rFonts w:eastAsia="Calibri"/>
                <w:spacing w:val="-4"/>
                <w:cs/>
              </w:rPr>
              <w:t>อาคารทำด้วยไม้เสาเหลากลม</w:t>
            </w:r>
            <w:r w:rsidRPr="007F0A0C">
              <w:rPr>
                <w:rFonts w:eastAsia="Calibri"/>
                <w:cs/>
              </w:rPr>
              <w:t xml:space="preserve"> แผ่นไม้สำหรับทำไม้วีเนียร์ที่ได้จากการฝานลามิเนเต็ดวูดที่มีความหนาไม่เกิน 6 มิลลิเมตร และให้หมายความรวมถึงไม้ประสาน </w:t>
            </w:r>
            <w:r w:rsidR="00C869F9" w:rsidRPr="007F0A0C">
              <w:rPr>
                <w:rFonts w:eastAsia="Calibri"/>
                <w:cs/>
              </w:rPr>
              <w:t xml:space="preserve">      </w:t>
            </w:r>
            <w:r w:rsidRPr="007F0A0C">
              <w:rPr>
                <w:rFonts w:eastAsia="Calibri"/>
                <w:cs/>
              </w:rPr>
              <w:t xml:space="preserve">ไม้ปาร์เกต์ ไม้ปูพื้นรางลิ้นรอบตัว </w:t>
            </w:r>
            <w:r w:rsidR="00C869F9" w:rsidRPr="007F0A0C">
              <w:rPr>
                <w:rFonts w:eastAsia="Calibri"/>
                <w:cs/>
              </w:rPr>
              <w:t xml:space="preserve">           </w:t>
            </w:r>
            <w:r w:rsidRPr="007F0A0C">
              <w:rPr>
                <w:rFonts w:eastAsia="Calibri"/>
                <w:cs/>
              </w:rPr>
              <w:t>และไม้โมเสกที่มีลักษณะตามที่ พณ. กำหนด</w:t>
            </w:r>
          </w:p>
        </w:tc>
      </w:tr>
      <w:tr w:rsidR="002F77E3" w:rsidRPr="007F0A0C" w:rsidTr="002F77E3">
        <w:tc>
          <w:tcPr>
            <w:tcW w:w="198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6. </w:t>
            </w:r>
            <w:r w:rsidRPr="00EB692F">
              <w:rPr>
                <w:rFonts w:eastAsia="Calibri"/>
                <w:b/>
                <w:bCs/>
                <w:cs/>
              </w:rPr>
              <w:t>บัญชีท้ายร่างประกาศฯ</w:t>
            </w:r>
          </w:p>
        </w:tc>
        <w:tc>
          <w:tcPr>
            <w:tcW w:w="3827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เดิมไม่มีบัญชีท้าย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[ไม่ได้ระบุพิกัดศุลกากรของสินค้าไม้ที่มีการควบคุมการนำเข้า]</w:t>
            </w:r>
          </w:p>
        </w:tc>
        <w:tc>
          <w:tcPr>
            <w:tcW w:w="379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</w:t>
            </w:r>
            <w:r w:rsidRPr="007F0A0C">
              <w:rPr>
                <w:rFonts w:eastAsia="Calibri"/>
                <w:b/>
                <w:bCs/>
                <w:cs/>
              </w:rPr>
              <w:t xml:space="preserve">ระบุพิกัดศุลกากรของไม้แต่ละประเภทตามคำขอของกรมศุลกากร </w:t>
            </w:r>
            <w:r w:rsidRPr="007F0A0C">
              <w:rPr>
                <w:rFonts w:eastAsia="Calibri"/>
                <w:cs/>
              </w:rPr>
              <w:t>เพื่อเชื่อมโยงข้อมูลกับระบบกลางของกรมศุลกากร และเพื่ออำนวยความสะดวกให้แก่ผู้นำเข้าไม้และเจ้าหน้าที่ในการตีความประเภทไม้ตามร่างประกาศฉบับนี้</w:t>
            </w:r>
          </w:p>
        </w:tc>
      </w:tr>
    </w:tbl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F77E3" w:rsidRPr="007F0A0C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3. </w:t>
      </w:r>
      <w:r w:rsidR="002F77E3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ร่างประกาศกระทรวงพาณิชย์ เรื่อง กำหนดให้ไม้พะยูงเป็นสินค้าที่ต้องห้าม</w:t>
      </w:r>
      <w:r w:rsidR="00D53E9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2F77E3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ให้ไม้ท่อน ไม้แปรรูป </w:t>
      </w:r>
      <w:r w:rsidR="00C869F9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</w:t>
      </w:r>
      <w:r w:rsidR="0063273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</w:t>
      </w:r>
      <w:r w:rsidR="002F77E3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และไม้ล้อมบางชนิด เป็นสินค้าที่ต้องขออนุญาต และให้สิ่งประดิษฐ์ของไม้และถ่านไม้เป็นสินค้าที่ต้องมีหนังสือรับรองในการส่งออกไปนอกราชอาณาจักร พ.ศ. ....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คณะรัฐมนตรีมีมติเห็นชอบในหลักการร่างประกาศกระทรวงพาณิชย์ เรื่อง กำหนดให้ไม้พะยูงเป็นสินค้าที่ต้องห้าม</w:t>
      </w:r>
      <w:r w:rsidR="00D53E9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ให้ไม้ท่อน ไม้แปรรูป และไม้ล้อมบางชนิด เป็นสินค้าที่ต้องขออนุญาต และให้สิ่งประดิษฐ์ของไม้และถ่านไม้เป็นสินค้าที่ต้องมีหนังสือรับรองในการส่งออกไปนอกราชอาณาจักร พ.ศ. .... ตามที่กระทรวงพาณิชย์ (พณ.) เสนอ และให้ส่งคณะกรรมการตรวจสอบร่างกฎหมายและร่างอนุบัญญัติที่เสนอคณะรัฐมนตรีตรวจพิจารณา </w:t>
      </w:r>
      <w:r w:rsidR="00C869F9"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โดยให้รับความเห็นของสำนักงานคณะกรรมการกฤษฎีกาไปประกอบการพิจารณาด้วยแล้วดำเนินการต่อไปได้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ร่างประกาศกระทรวงพาณิชย์ฯ ที่ พณ. เสนอ เป็นการปรับปรุงมาตรการในการส่งออกไม้ท่อน ไม้แปรรูป ไม้ล้อมบางชนิด สิ่งประดิษฐ์ของไม้และถ่านไม้ออกไปนอกราชอาณาจักรให้เหมาะสมและสอดคล้องกับสถานการณ์ปัจจุบัน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สาระสำคัญของร่างประกาศ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1.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ยกเลิกประกาศกระทรวงพาณิชย์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เรื่อง กำหนดให้ไม้เป็นสินค้าที่ต้องขออนุญาตในการส่งออกไปนอกราชอาณาจักร พ.ศ. 2555 ลงวันที่ 11 เมษายน 2555 และประกาศกระทรวงพาณิชย์ เรื่อง การส่งถ่านไม้ออกไปนอกราชอาณาจักร พ.ศ. 2549 ลงวันที่ 17 มีนาคม 2549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ปรับปรุงประเด็นต่าง ๆ ดังนี้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1980"/>
        <w:gridCol w:w="3825"/>
        <w:gridCol w:w="3789"/>
      </w:tblGrid>
      <w:tr w:rsidR="002F77E3" w:rsidRPr="007F0A0C" w:rsidTr="002F77E3">
        <w:tc>
          <w:tcPr>
            <w:tcW w:w="1980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ประเด็น</w:t>
            </w:r>
          </w:p>
        </w:tc>
        <w:tc>
          <w:tcPr>
            <w:tcW w:w="3827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ตามประกาศ พณ. เรื่อง การส่งถ่านไม้ออกไปนอกราชอาณาจักร ปี 2549 และ ประกาศ พณ.ฯ เรื่องกำหนดให้ไม้เป็น</w:t>
            </w:r>
            <w:r w:rsidRPr="007F0A0C">
              <w:rPr>
                <w:rFonts w:eastAsia="Calibri"/>
                <w:b/>
                <w:bCs/>
                <w:cs/>
              </w:rPr>
              <w:lastRenderedPageBreak/>
              <w:t>สินค้าที่ต้องขออนุญาตในการส่งออกไปนอกราชอาณาจักร ปี 2555</w:t>
            </w:r>
          </w:p>
        </w:tc>
        <w:tc>
          <w:tcPr>
            <w:tcW w:w="3790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lastRenderedPageBreak/>
              <w:t>ร่างประกาศ พณ. เรื่อง กำหนดให้ไม้พะยูงเป็นสินค้าที่ต้องห้าม ให้ไม้ท่อน</w:t>
            </w: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 xml:space="preserve"> ไม้แปรรูป ฯ </w:t>
            </w:r>
          </w:p>
        </w:tc>
      </w:tr>
      <w:tr w:rsidR="002F77E3" w:rsidRPr="007F0A0C" w:rsidTr="002F77E3">
        <w:tc>
          <w:tcPr>
            <w:tcW w:w="198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1. มาตรการส่งออกไม้ท่อน ไม้แปรรูป ไม้ล้อมบางชนิด สิ่งประดิษฐ์ของไม้และถ่านไม้</w:t>
            </w:r>
          </w:p>
        </w:tc>
        <w:tc>
          <w:tcPr>
            <w:tcW w:w="3827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ไม้ท่อน และไม้แปรรูป ตามกฎหมายว่าด้วยป่าไม้ (ไม้ยางพารา ไม้สน และไม้ที่ทำออกจากสวนป่า) เป็นสินค้าที่ต้องขออนุญาตในการส่งออกไปนอกราชอาณาจักร</w:t>
            </w: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เดิมไม่มี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เดิมไม่มี</w:t>
            </w: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ถ่านไม้เป็นสินค้าที่ต้องขออนุญาตในการส่งออกไปนอกราชอาณาจักร เว้นแต่ ผงถ่าน ถ่านอัด และถ่านที่ได้จากวัสดุอื่นที่ไม่ใช่ไม้ เช่น ถ่านกะลามะพร้าว ถ่านเปลือกผลไม้</w:t>
            </w:r>
          </w:p>
        </w:tc>
        <w:tc>
          <w:tcPr>
            <w:tcW w:w="379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</w:t>
            </w:r>
            <w:r w:rsidRPr="007F0A0C">
              <w:rPr>
                <w:rFonts w:eastAsia="Calibri"/>
                <w:b/>
                <w:bCs/>
                <w:cs/>
              </w:rPr>
              <w:t xml:space="preserve">ไม้ท่อน และไม้แปรรูปเป็นสินค้าที่ต้องขออนุญาตในการส่งออกไปนอกราชอาณาจักร </w:t>
            </w:r>
            <w:r w:rsidRPr="007F0A0C">
              <w:rPr>
                <w:rFonts w:eastAsia="Calibri"/>
                <w:cs/>
              </w:rPr>
              <w:t>(เพิ่มเติมคำอธิบายเพื่อให้ชัดเจนขึ้นว่าไม้หมายถึงไม้ประเภทใด)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</w:t>
            </w:r>
            <w:r w:rsidRPr="007F0A0C">
              <w:rPr>
                <w:rFonts w:eastAsia="Calibri"/>
                <w:b/>
                <w:bCs/>
                <w:cs/>
              </w:rPr>
              <w:t xml:space="preserve">ไม้ล้อมบางชนิดเป็นสินค้าที่ต้องขออนุญาตในการส่งออกไปนอกราชอาณาจักร </w:t>
            </w:r>
            <w:r w:rsidRPr="007F0A0C">
              <w:rPr>
                <w:rFonts w:eastAsia="Calibri"/>
                <w:cs/>
              </w:rPr>
              <w:t>(</w:t>
            </w:r>
            <w:r w:rsidRPr="007F0A0C">
              <w:rPr>
                <w:rFonts w:eastAsia="Calibri"/>
                <w:b/>
                <w:bCs/>
                <w:cs/>
              </w:rPr>
              <w:t xml:space="preserve">เพิ่มใหม่ </w:t>
            </w:r>
            <w:r w:rsidRPr="007F0A0C">
              <w:rPr>
                <w:rFonts w:eastAsia="Calibri"/>
                <w:cs/>
              </w:rPr>
              <w:t xml:space="preserve">เพื่อให้ครอบคลุมไม้ทุกประเภท) 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</w:t>
            </w:r>
            <w:r w:rsidRPr="007F0A0C">
              <w:rPr>
                <w:rFonts w:eastAsia="Calibri"/>
                <w:b/>
                <w:bCs/>
                <w:cs/>
              </w:rPr>
              <w:t xml:space="preserve">สิ่งประดิษฐ์ของไม้เป็นสินค้าที่ต้องมีหนังสือรับรองเพื่อการค้าหรือการส่งออกตามกฎหมายว่าด้วยป่าไม้ </w:t>
            </w:r>
            <w:r w:rsidRPr="007F0A0C">
              <w:rPr>
                <w:rFonts w:eastAsia="Calibri"/>
                <w:cs/>
              </w:rPr>
              <w:t>เพื่อแสดงต่อศุลกากรประกอบการส่งออกไปนอกราชอาณาจักร (</w:t>
            </w:r>
            <w:r w:rsidRPr="007F0A0C">
              <w:rPr>
                <w:rFonts w:eastAsia="Calibri"/>
                <w:b/>
                <w:bCs/>
                <w:cs/>
              </w:rPr>
              <w:t>เพิ่มใหม่</w:t>
            </w:r>
            <w:r w:rsidRPr="007F0A0C">
              <w:rPr>
                <w:rFonts w:eastAsia="Calibri"/>
                <w:cs/>
              </w:rPr>
              <w:t>)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</w:t>
            </w:r>
            <w:r w:rsidRPr="007F0A0C">
              <w:rPr>
                <w:rFonts w:eastAsia="Calibri"/>
                <w:b/>
                <w:bCs/>
                <w:cs/>
              </w:rPr>
              <w:t xml:space="preserve">ถ่านไม้ต้องมีหนังสือรับรองเพื่อการค้าหรือการส่งออกตามกฎหมายว่าด้วยป่าไม้เพื่อแสดงต่อศุลกากรประกอบการส่งออกไปนอกราชอาณาจักร เว้นแต่ถ่านที่ได้จากวัสดุอื่นที่ไม่ใช่ไม้ผงถ่าน และถ่านอัด </w:t>
            </w:r>
            <w:r w:rsidRPr="007F0A0C">
              <w:rPr>
                <w:rFonts w:eastAsia="Calibri"/>
                <w:cs/>
              </w:rPr>
              <w:t>(เปลี่ยนจากขออนุญาต เป็นมีหนังสือรับรอง)</w:t>
            </w:r>
          </w:p>
        </w:tc>
      </w:tr>
      <w:tr w:rsidR="002F77E3" w:rsidRPr="007F0A0C" w:rsidTr="002F77E3">
        <w:tc>
          <w:tcPr>
            <w:tcW w:w="198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2. ข้อยกเว้นกรณีการส่งออก</w:t>
            </w:r>
          </w:p>
        </w:tc>
        <w:tc>
          <w:tcPr>
            <w:tcW w:w="3827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ไม้ท่อน ไม้แปรรูป และถ่านไม้กรณีที่นำออกไปเพื่อใช้เฉพาะตัว หรือนำออกไปเพื่อเป็นตัวอย่าง ทั้งนี้ ในปริมาณเท่าที่จำเป็นไม่ต้องขออนุญาต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การส่งออกไม้ยางพารา (ไม่จำกัดปริมาณ) ต้องขออนุญาต</w:t>
            </w:r>
          </w:p>
        </w:tc>
        <w:tc>
          <w:tcPr>
            <w:tcW w:w="379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ไม้ท่อน ไม้แปรรูป ไม้ล้อม สิ่งประดิษฐ์และถ่านไม้กรณีที่นำติดตัวออกไปเพื่อใช้เฉพาะตัว หรือนำออกไปเพื่อเป็นตัวอย่าง ทั้งนี้ ในปริมาณเท่าที่จำเป็น </w:t>
            </w:r>
            <w:r w:rsidRPr="007F0A0C">
              <w:rPr>
                <w:rFonts w:eastAsia="Calibri"/>
                <w:b/>
                <w:bCs/>
                <w:cs/>
              </w:rPr>
              <w:t>(คงเดิม)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</w:t>
            </w:r>
            <w:r w:rsidRPr="007F0A0C">
              <w:rPr>
                <w:rFonts w:eastAsia="Calibri"/>
                <w:b/>
                <w:bCs/>
                <w:cs/>
              </w:rPr>
              <w:t xml:space="preserve">กำหนดให้การส่งออกไม้ยางพารา </w:t>
            </w:r>
            <w:r w:rsidR="00C869F9" w:rsidRPr="007F0A0C">
              <w:rPr>
                <w:rFonts w:eastAsia="Calibri"/>
                <w:b/>
                <w:bCs/>
                <w:cs/>
              </w:rPr>
              <w:t xml:space="preserve">     </w:t>
            </w:r>
            <w:r w:rsidRPr="007F0A0C">
              <w:rPr>
                <w:rFonts w:eastAsia="Calibri"/>
                <w:b/>
                <w:bCs/>
                <w:cs/>
              </w:rPr>
              <w:t xml:space="preserve">(ไม่จำกัดปริมาณ) </w:t>
            </w:r>
            <w:r w:rsidRPr="007F0A0C">
              <w:rPr>
                <w:rFonts w:eastAsia="Calibri"/>
                <w:cs/>
              </w:rPr>
              <w:t xml:space="preserve">ไม่ต้องขออนุญาต </w:t>
            </w:r>
            <w:r w:rsidR="00C869F9" w:rsidRPr="007F0A0C">
              <w:rPr>
                <w:rFonts w:eastAsia="Calibri"/>
                <w:cs/>
              </w:rPr>
              <w:t xml:space="preserve">    </w:t>
            </w:r>
            <w:r w:rsidRPr="007F0A0C">
              <w:rPr>
                <w:rFonts w:eastAsia="Calibri"/>
                <w:cs/>
              </w:rPr>
              <w:t xml:space="preserve">(เดิมต้องขออนุญาต ที่ให้ส่งออกไม่จำกัดปริมาณเนื่องจากไม้ยางพาราเป็นไม้ปลูก </w:t>
            </w:r>
            <w:r w:rsidR="00EB692F">
              <w:rPr>
                <w:rFonts w:eastAsia="Calibri" w:hint="cs"/>
                <w:cs/>
              </w:rPr>
              <w:t xml:space="preserve">  </w:t>
            </w:r>
            <w:r w:rsidRPr="007F0A0C">
              <w:rPr>
                <w:rFonts w:eastAsia="Calibri"/>
                <w:cs/>
              </w:rPr>
              <w:t>ไม่มีการลักลอบตัด)</w:t>
            </w:r>
          </w:p>
        </w:tc>
      </w:tr>
      <w:tr w:rsidR="002F77E3" w:rsidRPr="007F0A0C" w:rsidTr="002F77E3">
        <w:tc>
          <w:tcPr>
            <w:tcW w:w="198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3. การห้ามส่งออกไม้พะยูงออกไปนอกราชอาณาจักร</w:t>
            </w:r>
          </w:p>
        </w:tc>
        <w:tc>
          <w:tcPr>
            <w:tcW w:w="3827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เดิมไม่มี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[</w:t>
            </w:r>
            <w:r w:rsidRPr="007F0A0C">
              <w:rPr>
                <w:rFonts w:eastAsia="Calibri"/>
                <w:b/>
                <w:bCs/>
                <w:cs/>
              </w:rPr>
              <w:t xml:space="preserve">เป็นมติคณะรัฐมนตรี (11 พ.ย. 51) เรื่อง ห้ามการนำเข้าไม้และสิ่งประดิษฐ์ที่ทำด้วยไม้พะยูง รวมทั้งห้ามการส่งออกไปนอกราชอาณาจักร </w:t>
            </w:r>
            <w:r w:rsidRPr="007F0A0C">
              <w:rPr>
                <w:rFonts w:eastAsia="Calibri"/>
                <w:cs/>
              </w:rPr>
              <w:t xml:space="preserve">โดยกำหนดห้ามการนำเข้าไม้และสิ่งประดิษฐ์ที่ทำด้วยไม้พะยูงจากประเทศกัมพูชา และประเทศลาว รวมทั้งห้ามการส่งออกไม้พะยูงทุกกรณีออกไปนอกราชอาณาจักร และให้ พณ. รับไปพิจารณาในการออกประกาศห้ามนำเข้า และส่งออกไม้พะยูง ตาม พ.ร.บ. การส่งออกไปและการนำเข้ามาในราชอาณาจักรซึ่งสินค้า พ.ศ. 2522 ต่อไป] </w:t>
            </w:r>
          </w:p>
        </w:tc>
        <w:tc>
          <w:tcPr>
            <w:tcW w:w="379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cs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</w:t>
            </w:r>
            <w:r w:rsidRPr="007F0A0C">
              <w:rPr>
                <w:rFonts w:eastAsia="Calibri"/>
                <w:b/>
                <w:bCs/>
                <w:cs/>
              </w:rPr>
              <w:t>ห้ามส่งออกไม้พะยูงท่อน ไม้พะยูงแปรรูป ไม้พะยูงล้อม และสิ่งประดิษฐ์ที่ทำจาก</w:t>
            </w:r>
            <w:r w:rsidRPr="00EB692F">
              <w:rPr>
                <w:rFonts w:eastAsia="Calibri"/>
                <w:b/>
                <w:bCs/>
                <w:spacing w:val="-4"/>
                <w:cs/>
              </w:rPr>
              <w:t xml:space="preserve">ไม้พะยูงออกไปนอกราชอาณาจักร </w:t>
            </w:r>
            <w:r w:rsidRPr="00EB692F">
              <w:rPr>
                <w:rFonts w:eastAsia="Calibri"/>
                <w:spacing w:val="-4"/>
                <w:cs/>
              </w:rPr>
              <w:t>[</w:t>
            </w:r>
            <w:r w:rsidRPr="00EB692F">
              <w:rPr>
                <w:rFonts w:eastAsia="Calibri"/>
                <w:b/>
                <w:bCs/>
                <w:spacing w:val="-4"/>
                <w:cs/>
              </w:rPr>
              <w:t xml:space="preserve">เพิ่มใหม่ </w:t>
            </w:r>
            <w:r w:rsidRPr="00EB692F">
              <w:rPr>
                <w:rFonts w:eastAsia="Calibri"/>
                <w:spacing w:val="-4"/>
                <w:cs/>
              </w:rPr>
              <w:t>เดิมเป็นมติคณะรัฐมนตรี (11 พ.ย. 51)</w:t>
            </w:r>
            <w:r w:rsidRPr="007F0A0C">
              <w:rPr>
                <w:rFonts w:eastAsia="Calibri"/>
                <w:cs/>
              </w:rPr>
              <w:t xml:space="preserve"> ซึ่งที่ประชุมคณะกรรมการนโยบายป่าไม้แห่งชาติ (คปช.) เห็นชอบให้นำมาใส่เพิ่มเติมเพื่อให้มีผลบังคับใช้ตามกฎหมายเป็นการทั่วไป]</w:t>
            </w:r>
          </w:p>
        </w:tc>
      </w:tr>
      <w:tr w:rsidR="002F77E3" w:rsidRPr="007F0A0C" w:rsidTr="002F77E3">
        <w:tc>
          <w:tcPr>
            <w:tcW w:w="198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lastRenderedPageBreak/>
              <w:t>4. วันที่ให้มีผลใช้บังคับ</w:t>
            </w:r>
          </w:p>
        </w:tc>
        <w:tc>
          <w:tcPr>
            <w:tcW w:w="3827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ตั้งแต่วันถัดจากวันประกาศในราชกิจจานุเบกษาเป็นต้นไป</w:t>
            </w:r>
          </w:p>
        </w:tc>
        <w:tc>
          <w:tcPr>
            <w:tcW w:w="379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</w:t>
            </w:r>
            <w:r w:rsidRPr="007F0A0C">
              <w:rPr>
                <w:rFonts w:eastAsia="Calibri"/>
                <w:b/>
                <w:bCs/>
                <w:cs/>
              </w:rPr>
              <w:t>เมื่อพ้นกำหนด 90 วันนับแต่วันที่ประกาศในราชกิจจานุเบกษาเป็นต้นไป</w:t>
            </w:r>
          </w:p>
        </w:tc>
      </w:tr>
      <w:tr w:rsidR="002F77E3" w:rsidRPr="007F0A0C" w:rsidTr="002F77E3">
        <w:tc>
          <w:tcPr>
            <w:tcW w:w="198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5. อื่น ๆ</w:t>
            </w:r>
          </w:p>
        </w:tc>
        <w:tc>
          <w:tcPr>
            <w:tcW w:w="3827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เดิมไม่มี</w:t>
            </w:r>
          </w:p>
        </w:tc>
        <w:tc>
          <w:tcPr>
            <w:tcW w:w="379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กำหนดคำนิยาม ดังนี้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“สิ่งประดิษฐ์” หมายความว่า ตู้ โต๊ะ เตียง เก้าอี้ บานประตู บานหน้าต่าง </w:t>
            </w:r>
            <w:r w:rsidR="00C869F9" w:rsidRPr="007F0A0C">
              <w:rPr>
                <w:rFonts w:eastAsia="Calibri"/>
                <w:cs/>
              </w:rPr>
              <w:t xml:space="preserve">         </w:t>
            </w:r>
            <w:r w:rsidRPr="007F0A0C">
              <w:rPr>
                <w:rFonts w:eastAsia="Calibri"/>
                <w:cs/>
              </w:rPr>
              <w:t xml:space="preserve">ไม้วงกบ ไม้คิ้ว ไม้บัว และอาคารสำเร็จรูปที่ทำจากไม้ทุกชนิด แผ่นชิ้นไม้อัด (พาร์ติเคิลบอร์ด) แผ่นชิ้นไม้อัดเรียงแถว (โอเอสบี) แผ่นไม้ที่คล้ายกัน ทำด้วยไม้หรือวัตถุอื่น ๆ จำพวกไม้ ไฟเบอร์บอร์ด ไม้อัดพลายวูด </w:t>
            </w:r>
            <w:r w:rsidR="00C869F9" w:rsidRPr="007F0A0C">
              <w:rPr>
                <w:rFonts w:eastAsia="Calibri"/>
                <w:cs/>
              </w:rPr>
              <w:t xml:space="preserve">    </w:t>
            </w:r>
            <w:r w:rsidRPr="007F0A0C">
              <w:rPr>
                <w:rFonts w:eastAsia="Calibri"/>
                <w:cs/>
              </w:rPr>
              <w:t>ไม้อัดวีเนียร์และลามิเนเต็ดวูดที่คล้ายกัน เครื่องประกอบอาคารทำด้วยไม้เสาเหลากลม แผ่นไม้สำหรับทำไม้วีเนียร์ที่ได้จากการฝานลามิเนเต็ดวูดที่มีความหนาไม่เกิน 6 มิลลิเมตร และให้หมายความรวมถึงไม้ประสาน ไม้ปาร์เกต์ ไม้ปูพื้นรางลิ้นรอบตัว และไม้โมเสกที่มีลักษณะตามที่ พณ. กำหนด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</w:t>
            </w:r>
            <w:r w:rsidRPr="007F0A0C">
              <w:rPr>
                <w:rFonts w:eastAsia="Calibri"/>
                <w:b/>
                <w:bCs/>
                <w:cs/>
              </w:rPr>
              <w:t xml:space="preserve">“ไม้ล้อม” หมายความว่า ไม้ยืนต้นเฉพาะที่มีชื่อหรือชนิดตรงกับไม้หวงห้ามตามกฎหมายว่าด้วยป่าไม้ ที่มีชีวิต </w:t>
            </w:r>
            <w:r w:rsidR="00C869F9" w:rsidRPr="007F0A0C">
              <w:rPr>
                <w:rFonts w:eastAsia="Calibri"/>
                <w:b/>
                <w:bCs/>
                <w:cs/>
              </w:rPr>
              <w:t xml:space="preserve">         </w:t>
            </w:r>
            <w:r w:rsidRPr="007F0A0C">
              <w:rPr>
                <w:rFonts w:eastAsia="Calibri"/>
                <w:b/>
                <w:bCs/>
                <w:cs/>
              </w:rPr>
              <w:t>ที่ถูกขุดล้อมขึ้นมาทั้งรากเพื่อให้สามารถเคลื่อนย้ายไปปลูกในสถานที่แห่งอื่นได้</w:t>
            </w:r>
            <w:r w:rsidRPr="007F0A0C">
              <w:rPr>
                <w:rFonts w:eastAsia="Calibri"/>
                <w:cs/>
              </w:rPr>
              <w:t xml:space="preserve"> เช่น ต้นจำปีป</w:t>
            </w:r>
            <w:r w:rsidR="00D53E93">
              <w:rPr>
                <w:rFonts w:eastAsia="Calibri"/>
                <w:cs/>
              </w:rPr>
              <w:t>่า ต้นตะเคียนทอง ต้นประดู่ และต้</w:t>
            </w:r>
            <w:r w:rsidRPr="007F0A0C">
              <w:rPr>
                <w:rFonts w:eastAsia="Calibri"/>
                <w:cs/>
              </w:rPr>
              <w:t xml:space="preserve">นจันทน์หอม </w:t>
            </w:r>
          </w:p>
        </w:tc>
      </w:tr>
      <w:tr w:rsidR="002F77E3" w:rsidRPr="007F0A0C" w:rsidTr="002F77E3">
        <w:tc>
          <w:tcPr>
            <w:tcW w:w="198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6. บัญชีท้ายร่างประกาศฯ</w:t>
            </w:r>
          </w:p>
        </w:tc>
        <w:tc>
          <w:tcPr>
            <w:tcW w:w="3827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เดิมไม่มีบัญชีท้าย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[ไม่ได้ระบุพิกัดศุลกากรของสินค้าไม้ที่มีการควบคุมการส่งออก]</w:t>
            </w:r>
          </w:p>
        </w:tc>
        <w:tc>
          <w:tcPr>
            <w:tcW w:w="379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ระบุพิกัดศุลกากรของไม้แต่ละประเภทตามคำขอของกรมศุลกากร เพื่อเชื่อมโยงข้อมูลกับระบบกลางของกรมศุลกากรและเพื่ออำนวยความสะดวกให้แก่ผู้ส่งออกไม้และเจ้าหน้าที่ในการตีความประเภทไม้ตามร่างประกาศฉบับนี้</w:t>
            </w:r>
          </w:p>
        </w:tc>
      </w:tr>
    </w:tbl>
    <w:p w:rsidR="00EB3631" w:rsidRPr="007F0A0C" w:rsidRDefault="00EB3631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A34F55" w:rsidRPr="00A34F55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4. </w:t>
      </w:r>
      <w:r w:rsidR="00A34F55" w:rsidRPr="00A34F55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ร่างกฎกระทรวงยกเว้นค่าธรรมเนียมเกี่ยวกับการจดทะเบียนเครื่องจักร พ.ศ. ....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คณะรัฐมนตรีมีมติเห็นชอบร่างกฎกระทรวงยกเว้นค่าธรรมเนียมเกี่ยวกับการจดทะเบียนเครื่องจักร พ.ศ. .... ตามที่กระทรวงอุตสาหกรรม (อก.) เสนอ ซึ่งสำนักงานคณะกรรมการกฤษฎีกาตรวจพิจารณาแล้ว </w:t>
      </w:r>
      <w:r w:rsidR="00EB692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และให้ดำเนินการต่อไปได้ และให้กระทรวงอุตสาหกรรมรับความเห็นของสำนักงานคณะกรรมการกฤษฎีกาไปพิจารณาดำเนินการต่อไปด้วย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ทั้งนี้ ร่างกฎกระทรวงฯ ที่ อก. เสนอ </w:t>
      </w:r>
      <w:r w:rsidRPr="00A34F55">
        <w:rPr>
          <w:rFonts w:ascii="TH SarabunPSK" w:eastAsia="Calibri" w:hAnsi="TH SarabunPSK" w:cs="TH SarabunPSK"/>
          <w:sz w:val="32"/>
          <w:szCs w:val="32"/>
          <w:u w:val="single"/>
          <w:cs/>
        </w:rPr>
        <w:t>เป็นการขยายระยะเวลาการยกเว้นค่าธรรมเนียมเกี่ยวกับการจดทะเบียนเครื่องจักร รวม 3 รายการ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 xml:space="preserve"> ได้แก่ 1) ค่าจดทะเบียนกรรมสิทธิ์เครื่องจักร (เครื่องละ 1</w:t>
      </w:r>
      <w:r w:rsidRPr="00A34F55">
        <w:rPr>
          <w:rFonts w:ascii="TH SarabunPSK" w:eastAsia="Calibri" w:hAnsi="TH SarabunPSK" w:cs="TH SarabunPSK"/>
          <w:sz w:val="32"/>
          <w:szCs w:val="32"/>
        </w:rPr>
        <w:t>,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000 บาท หรือถ้า</w:t>
      </w:r>
      <w:r w:rsidR="00EB692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จดทะเบียนหลายเครื่องในโรงงานหรือสถานที่เดียวและคราวเดียวกัน ไม่เกิน 20</w:t>
      </w:r>
      <w:r w:rsidRPr="00A34F55">
        <w:rPr>
          <w:rFonts w:ascii="TH SarabunPSK" w:eastAsia="Calibri" w:hAnsi="TH SarabunPSK" w:cs="TH SarabunPSK"/>
          <w:sz w:val="32"/>
          <w:szCs w:val="32"/>
        </w:rPr>
        <w:t>,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000 บาท) 2) ค่าเครื่องหมายการ</w:t>
      </w:r>
      <w:r w:rsidR="00EB692F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จดทะเบียนซึ่งเจ้าพนักงานได้ประทับหรือทำไว้ที่เครื่องจักร (เครื่องหมายละ 200 บาท หรือถ้าประทับหรือทำไว้หลายเครื่องในโรงงานหรือสถานที่เดียวกันและคราวเดียวกันไม่เกิน 2</w:t>
      </w:r>
      <w:r w:rsidRPr="00A34F55">
        <w:rPr>
          <w:rFonts w:ascii="TH SarabunPSK" w:eastAsia="Calibri" w:hAnsi="TH SarabunPSK" w:cs="TH SarabunPSK"/>
          <w:sz w:val="32"/>
          <w:szCs w:val="32"/>
        </w:rPr>
        <w:t>,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 xml:space="preserve">000 บาท) และ 3) ค่าคัดสำเนาเอกสารพร้อมด้วยคำรับรองว่าถูกต้อง เฉพาะในคราวเดียวกับการจดทะเทียนกรรมสิทธิ์เครื่องจักร (หน้าละ 10 บาท) </w:t>
      </w:r>
      <w:r w:rsidRPr="00A34F55">
        <w:rPr>
          <w:rFonts w:ascii="TH SarabunPSK" w:eastAsia="Calibri" w:hAnsi="TH SarabunPSK" w:cs="TH SarabunPSK"/>
          <w:sz w:val="32"/>
          <w:szCs w:val="32"/>
          <w:u w:val="single"/>
          <w:cs/>
        </w:rPr>
        <w:t>ออกไปอีก 1 ปี โดยให้มีผลใช้บังคับตั้งแต่วันที่ 22 มกราคม 2566 ถึงวันที่ 21 มกราคม 2567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 xml:space="preserve"> (กฎกระทรวงเดิมจะสิ้นผลใช้บังคับในวันที่ 21 มกราคม 2566) ทั้งนี้ เพื่อจูงใจให้เจ้าของเครื่องจักรนำเครื่องจักรมาจดทะเบียนกรรมสิทธิ์และสามารถนำ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เครื่องจักรนั้นไปจดจำนองเป็นหลักประกันกับสถาบันการเงินในการจัดหาทุนมาใช้ในการประกอบกิจการได้ </w:t>
      </w:r>
      <w:r w:rsidR="00EB692F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รวมทั้งเป็นการช่วยเหลือ เยียวยา และบรรเทาผลกระทบที่เกิดขึ้นแก่ผู้ประกอบกิจการที่เป็นเจ้าของเครื่องจักรในช่วงสถานการณ์การแพร่ระบาดของโรคติดเชื้อไวรัสโคโรนา 2019 และโดยที่เรื่องนี้เป็นการให้ความช่วยเหลือผู้ประกอบกิจการซึ่งเป็นเจ้าของเครื่องจักรโดยเร่งด่วน สำนักงานคณะกรรมการกฤษฎีกาจึงได้ตรวจพิจารณาร่างกฎกระทรวงดังกล่าวเป็นการล่วงหน้าเสร็จแล้ว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  <w:t>อก. ได้รายงานประมาณการการสูญเสียรายได้และประโยชน์ที่จะได้รับตามมาตรา 27 และมาตรา 32 แห่งพระราชบัญญัติวินัยการเงินการคลังของรัฐ พ.ศ. 2561 แล้ว โดย</w:t>
      </w:r>
      <w:r w:rsidRPr="00A34F55">
        <w:rPr>
          <w:rFonts w:ascii="TH SarabunPSK" w:eastAsia="Calibri" w:hAnsi="TH SarabunPSK" w:cs="TH SarabunPSK"/>
          <w:sz w:val="32"/>
          <w:szCs w:val="32"/>
          <w:u w:val="single"/>
          <w:cs/>
        </w:rPr>
        <w:t>คาดว่าการยกเว้นค่าธรรมเนียมเกี่ยวกับการจดทะเบียนเครื่องจักรรวม 3 รายการ ตามร่างกฎกระทรวงนี้จะทำให้รัฐสูญเสียรายได้ ประมาณ 2</w:t>
      </w:r>
      <w:r w:rsidRPr="00A34F55">
        <w:rPr>
          <w:rFonts w:ascii="TH SarabunPSK" w:eastAsia="Calibri" w:hAnsi="TH SarabunPSK" w:cs="TH SarabunPSK"/>
          <w:sz w:val="32"/>
          <w:szCs w:val="32"/>
          <w:u w:val="single"/>
        </w:rPr>
        <w:t>,</w:t>
      </w:r>
      <w:r w:rsidRPr="00A34F55">
        <w:rPr>
          <w:rFonts w:ascii="TH SarabunPSK" w:eastAsia="Calibri" w:hAnsi="TH SarabunPSK" w:cs="TH SarabunPSK"/>
          <w:sz w:val="32"/>
          <w:szCs w:val="32"/>
          <w:u w:val="single"/>
          <w:cs/>
        </w:rPr>
        <w:t>871</w:t>
      </w:r>
      <w:r w:rsidRPr="00A34F55">
        <w:rPr>
          <w:rFonts w:ascii="TH SarabunPSK" w:eastAsia="Calibri" w:hAnsi="TH SarabunPSK" w:cs="TH SarabunPSK"/>
          <w:sz w:val="32"/>
          <w:szCs w:val="32"/>
          <w:u w:val="single"/>
        </w:rPr>
        <w:t>,</w:t>
      </w:r>
      <w:r w:rsidRPr="00A34F55">
        <w:rPr>
          <w:rFonts w:ascii="TH SarabunPSK" w:eastAsia="Calibri" w:hAnsi="TH SarabunPSK" w:cs="TH SarabunPSK"/>
          <w:sz w:val="32"/>
          <w:szCs w:val="32"/>
          <w:u w:val="single"/>
          <w:cs/>
        </w:rPr>
        <w:t>840 บาท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 xml:space="preserve"> อย่างไรก็ตาม จะเป็นการบรรเทาความเดือดร้อนจากการประกอบกิจการของเจ้าของเครื่องจักรที่ได้รับผลกระทบภาวะเศรษฐกิจกรณีสถานการณ์การแพร่ระบาดของโรคติดเชื้อไวรัสโคโรนา 2019 และเพื่อเป็นการพยุงสถานะของเจ้าของเครื่องจักรให้สามารถประกอบกิจการได้อย่างต่อเนื่องและที่ผ่านมาตั้งแต่มีการยกเว้นค่าธรรมเนียมเกี่ยวกับการจดทะเบียนเครื่องจักร รวม 3 รายการดังกล่าว มีผู้ประกอบการที่เป็นเจ้าของเครื่องจักรที่นำมาจดทะเบียนกรรมสิทธิ์เครื่องจักรและได้รับยกเว้นค่าธรรมเนียมดังกล่าว จำนวน 2</w:t>
      </w:r>
      <w:r w:rsidRPr="00A34F55">
        <w:rPr>
          <w:rFonts w:ascii="TH SarabunPSK" w:eastAsia="Calibri" w:hAnsi="TH SarabunPSK" w:cs="TH SarabunPSK"/>
          <w:sz w:val="32"/>
          <w:szCs w:val="32"/>
        </w:rPr>
        <w:t>,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392 ราย และมีจำนวนเครื่องจักรที่นำมา</w:t>
      </w:r>
      <w:r w:rsidR="00EB692F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จดทะเบียนกรรมสิทธิ์ รวม 13</w:t>
      </w:r>
      <w:r w:rsidRPr="00A34F55">
        <w:rPr>
          <w:rFonts w:ascii="TH SarabunPSK" w:eastAsia="Calibri" w:hAnsi="TH SarabunPSK" w:cs="TH SarabunPSK"/>
          <w:sz w:val="32"/>
          <w:szCs w:val="32"/>
        </w:rPr>
        <w:t>,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786 เครื่อง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4F5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sz w:val="32"/>
          <w:szCs w:val="32"/>
          <w:u w:val="single"/>
          <w:cs/>
        </w:rPr>
        <w:t>เป็นการขยายระยะเวลาการยกเว้นค่าธรรมเนียม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 xml:space="preserve">เกี่ยวกับการจดทะเบียนเครื่องจักร รวม 3 รายการ ได้แก่ 1) ค่าจดทะเบียนกรรมสิทธิ์เครื่องจักร 2) ค่าเครื่องหมายการจดทะเบียนซึ่งเจ้าพนักงานได้ประทับหรือทำไว้ที่เครื่องจักร และ 3) ค่าคัดสำเนาเอกสารพร้อมด้วยคำรับรองว่าถูกต้อง เฉพาะในคราวเดียวกับการจดทะเบียนกรรมสิทธิ์เครื่องจักร </w:t>
      </w:r>
      <w:r w:rsidRPr="00A34F55">
        <w:rPr>
          <w:rFonts w:ascii="TH SarabunPSK" w:eastAsia="Calibri" w:hAnsi="TH SarabunPSK" w:cs="TH SarabunPSK"/>
          <w:sz w:val="32"/>
          <w:szCs w:val="32"/>
          <w:u w:val="single"/>
          <w:cs/>
        </w:rPr>
        <w:t>ออกไปอีก 1 ปีโดยให้มีผลใช้บังคับตั้งแต่วันที่ 22 มกราคม 2566 ถึงวันที่ 21 มกราคม 2567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543"/>
        <w:gridCol w:w="3362"/>
      </w:tblGrid>
      <w:tr w:rsidR="00A34F55" w:rsidRPr="00A34F55" w:rsidTr="007F0A0C">
        <w:tc>
          <w:tcPr>
            <w:tcW w:w="2689" w:type="dxa"/>
          </w:tcPr>
          <w:p w:rsidR="00A34F55" w:rsidRPr="00A34F55" w:rsidRDefault="00A34F55" w:rsidP="00EB692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543" w:type="dxa"/>
          </w:tcPr>
          <w:p w:rsidR="00A34F55" w:rsidRPr="00A34F55" w:rsidRDefault="00A34F55" w:rsidP="00EB692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กฎกระทรวงฯ พ.ศ. 2565</w:t>
            </w:r>
          </w:p>
        </w:tc>
        <w:tc>
          <w:tcPr>
            <w:tcW w:w="3362" w:type="dxa"/>
          </w:tcPr>
          <w:p w:rsidR="00A34F55" w:rsidRPr="00A34F55" w:rsidRDefault="00A34F55" w:rsidP="00EB692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ร่างกฎกระทรวงฯ ที่ อก. เสนอ</w:t>
            </w:r>
          </w:p>
        </w:tc>
      </w:tr>
      <w:tr w:rsidR="00A34F55" w:rsidRPr="00A34F55" w:rsidTr="007F0A0C">
        <w:tc>
          <w:tcPr>
            <w:tcW w:w="2689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สิทธิประโยชน์</w:t>
            </w:r>
          </w:p>
        </w:tc>
        <w:tc>
          <w:tcPr>
            <w:tcW w:w="3543" w:type="dxa"/>
          </w:tcPr>
          <w:p w:rsidR="00A34F55" w:rsidRPr="00A34F55" w:rsidRDefault="00A34F55" w:rsidP="007F0A0C">
            <w:pPr>
              <w:numPr>
                <w:ilvl w:val="0"/>
                <w:numId w:val="3"/>
              </w:numPr>
              <w:spacing w:line="320" w:lineRule="exact"/>
              <w:ind w:left="318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ยกเว้นค่าธรรมเนียมเกี่ยวกับการจดทะเบียนเครื่องจักร ดังต่อไปนี้ ให้แก่เจ้าของเครื่องจักรเป็นระยะเวลา 1 ปี นับแต่วันที่กฎกระทรวงนี้ใช้บังคับ</w:t>
            </w:r>
          </w:p>
          <w:p w:rsidR="00A34F55" w:rsidRPr="00A34F55" w:rsidRDefault="00A34F55" w:rsidP="007F0A0C">
            <w:pPr>
              <w:spacing w:line="320" w:lineRule="exact"/>
              <w:ind w:left="318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1) ค่าจดทะเบียนกรรมสิทธิ์เครื่องจักร</w:t>
            </w:r>
          </w:p>
          <w:p w:rsidR="00A34F55" w:rsidRPr="00A34F55" w:rsidRDefault="00A34F55" w:rsidP="007F0A0C">
            <w:pPr>
              <w:spacing w:line="320" w:lineRule="exact"/>
              <w:ind w:left="318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2) ค่าเครื่องหมายจดทะเบียนซึ่งเจ้าพนักงานได้ประทับหรือทำไว้ที่เครื่องจักร</w:t>
            </w:r>
          </w:p>
          <w:p w:rsidR="00A34F55" w:rsidRPr="00A34F55" w:rsidRDefault="00A34F55" w:rsidP="007F0A0C">
            <w:pPr>
              <w:spacing w:line="320" w:lineRule="exact"/>
              <w:ind w:left="318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3) ค่าคัดสำเนาเอกสารพร้อมด้วยคำรับรองว่าถูกต้อง เฉพาะในคราวเดียวกับการจดทะเบียนกรรมสิทธิ์เครื่องจักร</w:t>
            </w:r>
          </w:p>
        </w:tc>
        <w:tc>
          <w:tcPr>
            <w:tcW w:w="3362" w:type="dxa"/>
          </w:tcPr>
          <w:p w:rsidR="00A34F55" w:rsidRPr="00A34F55" w:rsidRDefault="00A34F55" w:rsidP="007F0A0C">
            <w:pPr>
              <w:numPr>
                <w:ilvl w:val="0"/>
                <w:numId w:val="3"/>
              </w:numPr>
              <w:spacing w:line="320" w:lineRule="exact"/>
              <w:ind w:left="178" w:hanging="178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คงเดิม</w:t>
            </w:r>
          </w:p>
        </w:tc>
      </w:tr>
      <w:tr w:rsidR="00A34F55" w:rsidRPr="00A34F55" w:rsidTr="007F0A0C">
        <w:tc>
          <w:tcPr>
            <w:tcW w:w="2689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ระยะเวลาการใช้บังคับ</w:t>
            </w:r>
          </w:p>
        </w:tc>
        <w:tc>
          <w:tcPr>
            <w:tcW w:w="3543" w:type="dxa"/>
          </w:tcPr>
          <w:p w:rsidR="00A34F55" w:rsidRPr="00A34F55" w:rsidRDefault="00A34F55" w:rsidP="007F0A0C">
            <w:pPr>
              <w:numPr>
                <w:ilvl w:val="0"/>
                <w:numId w:val="3"/>
              </w:numPr>
              <w:spacing w:line="320" w:lineRule="exact"/>
              <w:ind w:left="374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ตั้งแต่วันที่ 22 มกราคม 2565 ถึงวันที่ 21 มกราคม 2565 </w:t>
            </w:r>
          </w:p>
        </w:tc>
        <w:tc>
          <w:tcPr>
            <w:tcW w:w="3362" w:type="dxa"/>
          </w:tcPr>
          <w:p w:rsidR="00A34F55" w:rsidRPr="00A34F55" w:rsidRDefault="00A34F55" w:rsidP="007F0A0C">
            <w:pPr>
              <w:numPr>
                <w:ilvl w:val="0"/>
                <w:numId w:val="3"/>
              </w:numPr>
              <w:spacing w:line="320" w:lineRule="exact"/>
              <w:ind w:left="314" w:hanging="283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ตั้งแต่วันที่ 22 มกราคม 2566 ถึงวันที่ 21 มกราคม 2567</w:t>
            </w:r>
          </w:p>
        </w:tc>
      </w:tr>
    </w:tbl>
    <w:p w:rsidR="007F0A0C" w:rsidRPr="00A34F55" w:rsidRDefault="007F0A0C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34F55" w:rsidRPr="00A34F55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5. </w:t>
      </w:r>
      <w:r w:rsidR="00A34F55" w:rsidRPr="00A34F55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ร่างพระราชกฤษฎีกากำหนดเขตที่ดินที่จะเวนคืน ในท้องที่ตำบลป่าตอง และตำบลกะทู้ อำเภอกะทู้ จังหวัดภูเก็ต พ.ศ. ....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คณะรัฐมนตรีมีมติอนุมัติหลักการร่างพระราชกฤษฎีกากำหนดเขตที่ดินที่จะเวนคืนในท้องที่</w:t>
      </w:r>
      <w:r w:rsidR="007F0A0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ตำบลป่าตอง และตำบลกะทู้ อำเภอกะทู้ จังหวัดภูเก็ต พ.ศ. .... ตามที่กระทรวงคมนาคม (คค.) เสนอและให้ส่งสำนักงานคณะกรรมการกฤษฎีกาตรวจพิจารณา แล้วดำเนินการต่อไปได้ และให้กระทรวงคมนาคมรับความเห็นของกระทรวงเกษตรและสหกรณ์ กระทรวงทรัพยากรธรรมชาติและสิ่งแวดล้อม สำนักงานสภาพัฒนาการเศรษฐกิจ</w:t>
      </w:r>
      <w:r w:rsidR="007F0A0C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และสังคมแห่งชาติและสำนักงานคณะกรรมการกฤษฎีกา ไปพิจารณาดำเนินการต่อไปด้วย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4F55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ทั้งนี้ ร่างพระราชกฤษฎีกาฯ ที่กระทรวงคมนาคมเสนอ เป็นการกำหนดเขตที่ดินที่จะเวนคืน </w:t>
      </w:r>
      <w:r w:rsidR="007F0A0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ในท้องที่ตำบลป่าตอง และตำบลกะทู้ อำเภอกะทู้ จังหวัดภูเก็ต เพื่อสร้างทางพิเศษสายกะทู้ – ป่าตอง จังหวัดภูเก็ต และอาคารศูนย์บริหารทางพิเศษ จุดพักรถ (</w:t>
      </w:r>
      <w:r w:rsidRPr="00A34F55">
        <w:rPr>
          <w:rFonts w:ascii="TH SarabunPSK" w:eastAsia="Calibri" w:hAnsi="TH SarabunPSK" w:cs="TH SarabunPSK"/>
          <w:sz w:val="32"/>
          <w:szCs w:val="32"/>
        </w:rPr>
        <w:t>Rest Area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) และสิ่งจำเป็นอื่น ตามโครงการทางพิเศษสายกะทู้ – ป่าตอง จังหวัดภูเก็ต ซึ่งคณะรัฐมนตรีได้มีมติอนุมัติโครงการดังกล่าวแล้ว (มติคณะรัฐมนตรีวันที่ 18 มกราคม 2565) โดยร่างพระราชกฤษฎีกาดังกล่าวมีกำหนดใช้บังคับ 5 ปี และให้เริ่มต้นเข้าสำรวจที่ดินและอสังหาริมทรัพย์ที่อยู่ภายในแนวเขตที่ดินที่จะเวนคืน ภายใน 180 วัน นับแต่วันที่พระราชกฤษฎีกานี้ใช้บังคับ มีที่ดินที่ต้องเวนคืนจำนวน 192 แปลง และสิ่งปลูกสร้างจำนวน 222 หลัง ทั้งนี้ เพื่ออำนวยความสะดวกแก่ผู้ใช้บริการทางพิเศษ และเพื่อนำที่ดินไปชดเชยให้เกิดความเป็นธรรมแก่เจ้าของที่ดินที่ถูกเวนคืน รวมทั้งเพื่อให้เจ้าหน้าที่หรือพนักงานเจ้าหน้าที่มีสิทธิเข้าไปสำรวจ</w:t>
      </w:r>
      <w:r w:rsidR="007F0A0C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 xml:space="preserve">และเพื่อให้ทราบข้อเท็จจริงเกี่ยวกับอสังหาริมทรัพย์ที่จะต้องได้มาโดยแน่ชัด และเมื่อการก่อสร้างตามโครงการดังกล่าวแล้วเสร็จ จะช่วยบรรเทาปัญหาการจราจร และอุบัติเหตุบนทางหลวงแผ่นดินหมายเลข 4029 รวมทั้งสามารถใช้เป็นเส้นทางอพยพในกรณีเกิดภัยพิบัติ เช่น สึนามิ ตลอดจนอำนวยความสะดวกในการเดินทางให้กับคนในพื้นที่ นักท่องเที่ยว อีกทั้งยังส่งเสริมการท่องเที่ยวในจังหวัดภูเก็ตมีศักยภาพในการรองรับจำนวนนักท่องเที่ยวได้มากขึ้น </w:t>
      </w:r>
      <w:r w:rsidR="007F0A0C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ซึ่งเป็นไปตามยุทธศาสตร์การพัฒนาการท่องเที่ยวกลุ่มจังหวัดสามเหลี่ยมอันดามัน (ภูเก็ต – พังงา – กระบี่) ที่จะช่วย</w:t>
      </w:r>
      <w:r w:rsidRPr="00A34F55">
        <w:rPr>
          <w:rFonts w:ascii="TH SarabunPSK" w:eastAsia="Calibri" w:hAnsi="TH SarabunPSK" w:cs="TH SarabunPSK"/>
          <w:spacing w:val="-6"/>
          <w:sz w:val="32"/>
          <w:szCs w:val="32"/>
          <w:cs/>
        </w:rPr>
        <w:t>พัฒนาพื้นที่ภาคใต้และประเทศไทยในอนาคต โดยกรมการปกครองได้ตรวจสอบแผนที่ท้ายพระราชกฤษฎีกาในเรื่องนี้แล้ว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 xml:space="preserve"> ตามมติคณะรัฐมนตรี (22 มีนาคม 2565) </w:t>
      </w:r>
      <w:r w:rsidRPr="00A34F55">
        <w:rPr>
          <w:rFonts w:ascii="TH SarabunPSK" w:eastAsia="Calibri" w:hAnsi="TH SarabunPSK" w:cs="TH SarabunPSK"/>
          <w:sz w:val="32"/>
          <w:szCs w:val="32"/>
        </w:rPr>
        <w:t>[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เรื่อง แนวทางปฏิบัติเกี่ยวกับกรณีการตราร่างกฎหมายหรือ</w:t>
      </w:r>
      <w:r w:rsidR="007F0A0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ร่างอนุบัญญัติที่ต้องจัดให้มีแผนที่ท้าย</w:t>
      </w:r>
      <w:r w:rsidRPr="00A34F55">
        <w:rPr>
          <w:rFonts w:ascii="TH SarabunPSK" w:eastAsia="Calibri" w:hAnsi="TH SarabunPSK" w:cs="TH SarabunPSK"/>
          <w:sz w:val="32"/>
          <w:szCs w:val="32"/>
        </w:rPr>
        <w:t xml:space="preserve">] 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ด้วยแล้ว และสำนักงบประมาณแจ้งว่าจะจัดสรรงบประมาณให้เมื่อ</w:t>
      </w:r>
      <w:r w:rsidR="007F0A0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="002139BD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ร่างพระราชกฤษฎีกาดังกล่าวใช้บังคับแล้ว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  <w:t>กระทรวงคมนาคมได้จัดให้มีการรับฟังความคิดเห็นของผู้ได้รับผลกระทบตามร่างพระราชกฤษฎีกา</w:t>
      </w:r>
      <w:r w:rsidR="007F0A0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นี้แล้ว ซึ่งส่วนใหญ่เห็นด้วยกับโครงการดังกล่าว ร้อยละ 70 และได้ดำเนินการตามมาตรา 27 แห่งพระราชบัญญัติวินัยการเงินการคลังของรัฐ พ.ศ. 2561 ด้วยแล้ว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A34F55" w:rsidRPr="007F0A0C" w:rsidRDefault="00A34F55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กำหนดเขตที่ดินที่จะเวนคืน ในท้องที่ตำบลป่าตอง และตำบลกะทู้ อำเภอกะทู้ จังหวัดภูเก็ต </w:t>
      </w:r>
      <w:r w:rsidR="007F0A0C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เพื่อสร้างทางพิเศษสายกะทู้ – ป่าตอง และอาคารศูนย์บริหารทางพิเศษ จุดพักรถ (</w:t>
      </w:r>
      <w:r w:rsidRPr="007F0A0C">
        <w:rPr>
          <w:rFonts w:ascii="TH SarabunPSK" w:eastAsia="Calibri" w:hAnsi="TH SarabunPSK" w:cs="TH SarabunPSK"/>
          <w:sz w:val="32"/>
          <w:szCs w:val="32"/>
        </w:rPr>
        <w:t>Rest Area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) และสิ่งจำเป็นอื่น </w:t>
      </w:r>
      <w:r w:rsidR="007F0A0C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มีกำหนดใช้บังคับ 5 ปี โดยให้เริ่มต้นเข้าสำรวจที่ดินและอสังหาริมทรัพย์ที่อยู่ภายในแนวเขตที่ดินที่จะเวนคืน </w:t>
      </w:r>
      <w:r w:rsidR="007F0A0C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ภายใน 180 วัน นับแต่วันที่พระราชกฤษฎีกานี้ใช้บังคับ</w:t>
      </w:r>
    </w:p>
    <w:p w:rsidR="00A34F55" w:rsidRPr="007F0A0C" w:rsidRDefault="00A34F55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D2635" w:rsidRPr="007F0A0C" w:rsidTr="002F77E3">
        <w:tc>
          <w:tcPr>
            <w:tcW w:w="9594" w:type="dxa"/>
          </w:tcPr>
          <w:p w:rsidR="002D2635" w:rsidRPr="007F0A0C" w:rsidRDefault="002D2635" w:rsidP="007F0A0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610449" w:rsidRPr="007F0A0C" w:rsidRDefault="00AB685B" w:rsidP="007F0A0C">
      <w:pPr>
        <w:spacing w:after="0"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610449" w:rsidRPr="007F0A0C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การขอรับการจัดสรรเงินอุดหนุนเป็นรายปีเป็นการจ่ายขาดให้แก่สภาองค์กรของผู้บริโภค (งบประมาณรายจ่ายประจำปีงบประมาณ พ.ศ. 2567</w:t>
      </w:r>
      <w:r w:rsidR="00D53E9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คณะรัฐมนตรีมีมติอนุมัติกรอบวงเงินการขอรับการจัดสรรอุดหนุนเป็นรายปี เป็นการจ่ายขาดให้แก่สภาองค์กรของผู้บริโภค งบประมาณรายจ่ายประจำปีงบประมาณ พ.ศ. 2567 จำนวนทั้งสิ้น 322.52 ล้านบาท       ตามนัยมาตรา 16 แห่งพระราชบัญญัติการจัดตั้งสภาองค์กรของผู้บริโภค พ.ศ. 2562 ทั้งนี้ เพื่อให้สำนักงานปลัดสำนักนายกรัฐมนตรี (สปน.) นำไปจัดทำคำของบประมาณเพื่อจัดสรรเงินอุดหนุนเป็นรายปีเป็นการจ่ายขาดให้แก่สภาองค์กรของผู้บริโภคในคำของบประมาณรายจ่ายประจำปีงบประมาณ พ.ศ. 2567 ของ สปน. ต่อไป ตามที่ สปน. เสนอ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>สปน. รายงานว่า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1. รัฐธรรมนูญแห่งราชอาณาจักรไทย มาตรา 46 บัญญัติให้สิทธิของผู้บริโภคย่อมได้รับความคุ้มครอง บุคคลย่อมมีสิทธิรวมกันจัดตั้งเป็นองค์กรของผู้บริโภคเพื่อคุ้มครองและพิทักษ์สิทธิของผู้บริโภค และองค์กรของผู้บริโภคมีสิทธิรวมกันจัดตั้งเป็นองค์กรที่มีความเป็นอิสระเพื่อให้เกิดพลังในการคุ้มครองและพิทักษ์สิทธิของผู้บริโภคโดยได้รับการสนับสนุนจากรัฐ ซึ่งต่อมาได้มีการประกาศใช้พระราชบัญญัติการจัดตั้งสภาองค์กรของผู้บริโภค พ.ศ. 2562 โดยมาตรา 16 บัญญัติให้เป็นหน้าที่ของ สปน. ที่จะเสนอต่อคณะรัฐมนตรี เพื่อพิจารณาจัดสรรเงินอุดหนุนเป็นรายปีเป็นการจ่ายขาดให้แก่สภาองค์กรของผู้บริโภคตามที่สภาองค์กรของผู้บริโภคเสนอ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pacing w:val="-8"/>
          <w:sz w:val="32"/>
          <w:szCs w:val="32"/>
          <w:cs/>
        </w:rPr>
        <w:t xml:space="preserve">2. สปน. ได้เบิกจ่ายงบประมาณรายจ่ายประจำปีงบประมาณ พ.ค. 2564 งบกลางฯ จำนวน 350 ล้านบาท </w:t>
      </w:r>
      <w:r w:rsidRPr="007F0A0C">
        <w:rPr>
          <w:rFonts w:ascii="TH SarabunPSK" w:hAnsi="TH SarabunPSK" w:cs="TH SarabunPSK"/>
          <w:sz w:val="32"/>
          <w:szCs w:val="32"/>
          <w:cs/>
        </w:rPr>
        <w:t>เพื่อเป็นทุนประเดิมเบื้องต้นให้แก่สภาองค์กรของผู้บริโภค และได้โอนเงินอุดหนุนจำนวนดังกล่าวให้แก่สภาองค์กร</w:t>
      </w:r>
      <w:r w:rsidRPr="007F0A0C">
        <w:rPr>
          <w:rFonts w:ascii="TH SarabunPSK" w:hAnsi="TH SarabunPSK" w:cs="TH SarabunPSK"/>
          <w:sz w:val="32"/>
          <w:szCs w:val="32"/>
          <w:cs/>
        </w:rPr>
        <w:lastRenderedPageBreak/>
        <w:t>ของผู้บริโภคเพื่อเป็นค่าใช้จ่ายตามแผนการดำเนินการต่าง ๆ ที่กำหนดไว้ในปีงบประมาณ พ.ศ. 2564 เรียบร้อยแล้ว ต่อมาสภาองค์กรของผู้บริโภคเสนอคำขอแปรญัตติเพิ่มงบประมาณรายจ่ายประจำปีงบประมาณ พ.ศ. 2565     จำนวนทั้งสิ้น 222.87 ล้านบาท เพื่อเป็นค่าใช้จ่ายของสภาองค์กรของผู้บริโภค โดย สปน. ได้ดำเนินการขอแปรญัตติเพิ่มงบประมาณจำนวนดังกล่าวแล้ว แต่ไม่ได้รับการจัดสรรงบประมาณสภาองค์กรของผู้บริโภคจึงขอให้ สปน.     เสนอขอรับการจัดสรรงบประมาณรายจ่ายประจำปีงบประมาณ พ.ศ. 2565 งบกลางฯ ให้แก่สภาองค์กรของผู้บริโภค จำนวนทั้งสิ้น 159.67 ล้านบาทซึ่งสำนักงบประมาณ (สงป.) แจ้งว่า นายกรัฐมนตรีได้มีบัญชาให้ สปน. แจ้งสภาองค์กรของผู้บริโภคให้พิจารณาใช้จ่ายจากเงินทุนประเดิมที่มีเหลือจ่ายในโอกาสแรกก่อน และ/หรือพิจารณาใช้จ่ายจากเงินรายได้ของสภาองค์กรของผู้บริโภคตามความจำเป็นและเหมาะสมต่อไป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 xml:space="preserve">3. สภาองค์กรของผู้บริโภคได้เสนอคำของบประมาณรายจ่ายประจำปีงบประมาณ พ.ศ. 2566 จำนวนทั้งสิ้น 395.15 ล้านบาท โดย สปน. ได้เสนอเรื่องดังกล่าวต่อคณะรัฐมนตรี ซึ่งคณะรัฐมนตรีได้มีมติอนุมัติจัดสรรเงินอุดหนุนดังกล่าวเรียบร้อยแล้ว (มติคณะรัฐมนตรี 8 มีนาคม 2565) สปน. จึงขอรับการจัดสรรงบประมาณรายจ่ายประจำปีงบประมาณ พ.ศ. 2566 ให้แก่สภาองค์กรของผู้บริโภค แต่ไม่ได้รับการจัดสรรงบประมาณดังกล่าว สภาองค์กรของผู้บริโภคจึงได้เสนอคำขอแปรญัตติเพิ่มงบประมาณรายจ่ายประจำปีงบประมาณ พ.ศ. 2566 </w:t>
      </w:r>
      <w:r w:rsidR="00C869F9" w:rsidRPr="007F0A0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7F0A0C">
        <w:rPr>
          <w:rFonts w:ascii="TH SarabunPSK" w:hAnsi="TH SarabunPSK" w:cs="TH SarabunPSK"/>
          <w:sz w:val="32"/>
          <w:szCs w:val="32"/>
          <w:cs/>
        </w:rPr>
        <w:t>จำนวนทั้งสิ้น 395.15 ล้านบาท ซึ่ง สปน. ได้เสนอคำขอเพิ่มงบประมาณดังกล่าวตามที่สภาองค์กรของผู้บริโภคเสนอขอรับแล้วแต่ไม่ได้รับการจัดสรรงบประมาณดังกล่าว ต่อมาสภาองค์กรของผู้บริโภคจึงเสนอขอรับการจัดสรร</w:t>
      </w:r>
      <w:r w:rsidRPr="007F0A0C">
        <w:rPr>
          <w:rFonts w:ascii="TH SarabunPSK" w:hAnsi="TH SarabunPSK" w:cs="TH SarabunPSK"/>
          <w:spacing w:val="-10"/>
          <w:sz w:val="32"/>
          <w:szCs w:val="32"/>
          <w:cs/>
        </w:rPr>
        <w:t>งบประมาณรายจ่ายประจำปีงบประมาณ พ.ศ. 2566 งบกลางฯ ให้แก่สภาองค์กรของผู้บริโภคจำนวนทั้งสิ้น 345.17 ล้านบาท</w:t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 ซึ่ง สปน. ได้ดำเนินการส่งเรื่องการขอรับจัดสรรงบประมาณฯ งบกลางฯ ดังกล่าว ให้ สงป.พิจารณาดำเนินการต่อไปแล้ว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4. สภาองค์กรของผู้บริโภคได้ดำเนินการตามแผนการปฏิบัติงานและแผนการใช้จ่ายงบประมาณที่ได้กำหนดไว้ในปีงบประมาณ พ.ศ. 2565 โดยใช้จ่ายเงินอุดหนุนคงเหลือที่ยกยอดมาจากทุนประเดิมที่ให้แก่สภาองค์กรของผู้บริโภค งบประมาณรายจ่ายประจำปีงบประมาณ พ.ศ. 2564 งบกลางฯ จำนวน 218.56 ล้านบาท ไปแล้วทั้งสิ้น 168.58 ล้านบาท คงเหลือ 49.98 ล้านบาท ดังนี้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>หน่วย : ล้านบาท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87"/>
        <w:gridCol w:w="3177"/>
        <w:gridCol w:w="1985"/>
        <w:gridCol w:w="2126"/>
        <w:gridCol w:w="1559"/>
      </w:tblGrid>
      <w:tr w:rsidR="00610449" w:rsidRPr="007F0A0C" w:rsidTr="002F77E3">
        <w:tc>
          <w:tcPr>
            <w:tcW w:w="787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77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1985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ทุนประเดิมยกมา</w:t>
            </w:r>
          </w:p>
        </w:tc>
        <w:tc>
          <w:tcPr>
            <w:tcW w:w="2126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งบประมาณที่ใช้จ่าย</w:t>
            </w:r>
          </w:p>
        </w:tc>
        <w:tc>
          <w:tcPr>
            <w:tcW w:w="1559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คงเหลือเงินสด</w:t>
            </w:r>
          </w:p>
        </w:tc>
      </w:tr>
      <w:tr w:rsidR="00610449" w:rsidRPr="007F0A0C" w:rsidTr="002F77E3">
        <w:tc>
          <w:tcPr>
            <w:tcW w:w="787" w:type="dxa"/>
          </w:tcPr>
          <w:p w:rsidR="00610449" w:rsidRPr="007F0A0C" w:rsidRDefault="00610449" w:rsidP="007F0A0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177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แผนงานสนับสนุนและดำเนินการคุ้มครองและพิทักษ์ผู้บริโภค</w:t>
            </w:r>
          </w:p>
        </w:tc>
        <w:tc>
          <w:tcPr>
            <w:tcW w:w="1985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33.24</w:t>
            </w:r>
          </w:p>
        </w:tc>
        <w:tc>
          <w:tcPr>
            <w:tcW w:w="2126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12.77</w:t>
            </w:r>
          </w:p>
        </w:tc>
        <w:tc>
          <w:tcPr>
            <w:tcW w:w="1559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20.47</w:t>
            </w:r>
          </w:p>
        </w:tc>
      </w:tr>
      <w:tr w:rsidR="00610449" w:rsidRPr="007F0A0C" w:rsidTr="002F77E3">
        <w:tc>
          <w:tcPr>
            <w:tcW w:w="787" w:type="dxa"/>
          </w:tcPr>
          <w:p w:rsidR="00610449" w:rsidRPr="007F0A0C" w:rsidRDefault="00610449" w:rsidP="007F0A0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177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แผนพัฒนานโยบายและมาตรการคุ้มครองผู้บริโภค</w:t>
            </w:r>
          </w:p>
        </w:tc>
        <w:tc>
          <w:tcPr>
            <w:tcW w:w="1985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26.89</w:t>
            </w:r>
          </w:p>
        </w:tc>
        <w:tc>
          <w:tcPr>
            <w:tcW w:w="2126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22.32</w:t>
            </w:r>
          </w:p>
        </w:tc>
        <w:tc>
          <w:tcPr>
            <w:tcW w:w="1559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4.57</w:t>
            </w:r>
          </w:p>
        </w:tc>
      </w:tr>
      <w:tr w:rsidR="00610449" w:rsidRPr="007F0A0C" w:rsidTr="002F77E3">
        <w:tc>
          <w:tcPr>
            <w:tcW w:w="787" w:type="dxa"/>
          </w:tcPr>
          <w:p w:rsidR="00610449" w:rsidRPr="007F0A0C" w:rsidRDefault="00610449" w:rsidP="007F0A0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177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แผนสนับสนุนหน่วยประจำจังหวัดและองค์กรผู้บริโภค</w:t>
            </w:r>
          </w:p>
        </w:tc>
        <w:tc>
          <w:tcPr>
            <w:tcW w:w="1985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79.42</w:t>
            </w:r>
          </w:p>
        </w:tc>
        <w:tc>
          <w:tcPr>
            <w:tcW w:w="2126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72.17</w:t>
            </w:r>
          </w:p>
        </w:tc>
        <w:tc>
          <w:tcPr>
            <w:tcW w:w="1559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7.25</w:t>
            </w:r>
          </w:p>
        </w:tc>
      </w:tr>
      <w:tr w:rsidR="00610449" w:rsidRPr="007F0A0C" w:rsidTr="002F77E3">
        <w:tc>
          <w:tcPr>
            <w:tcW w:w="787" w:type="dxa"/>
          </w:tcPr>
          <w:p w:rsidR="00610449" w:rsidRPr="007F0A0C" w:rsidRDefault="00610449" w:rsidP="007F0A0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177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แผนสื่อสารเพื่อการคุ้มครองผู้บริโภค</w:t>
            </w:r>
          </w:p>
        </w:tc>
        <w:tc>
          <w:tcPr>
            <w:tcW w:w="1985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16.5</w:t>
            </w:r>
          </w:p>
        </w:tc>
        <w:tc>
          <w:tcPr>
            <w:tcW w:w="2126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15.29</w:t>
            </w:r>
          </w:p>
        </w:tc>
        <w:tc>
          <w:tcPr>
            <w:tcW w:w="1559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1.21</w:t>
            </w:r>
          </w:p>
        </w:tc>
      </w:tr>
      <w:tr w:rsidR="00610449" w:rsidRPr="007F0A0C" w:rsidTr="002F77E3">
        <w:tc>
          <w:tcPr>
            <w:tcW w:w="787" w:type="dxa"/>
          </w:tcPr>
          <w:p w:rsidR="00610449" w:rsidRPr="007F0A0C" w:rsidRDefault="00610449" w:rsidP="007F0A0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177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แผนงานจัดตั้งสำนักงานและพัฒนากำลังคนของสภาองค์กรของผู้บริโภค</w:t>
            </w:r>
          </w:p>
        </w:tc>
        <w:tc>
          <w:tcPr>
            <w:tcW w:w="1985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62.51</w:t>
            </w:r>
          </w:p>
        </w:tc>
        <w:tc>
          <w:tcPr>
            <w:tcW w:w="2126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46.03</w:t>
            </w:r>
          </w:p>
        </w:tc>
        <w:tc>
          <w:tcPr>
            <w:tcW w:w="1559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16.48</w:t>
            </w:r>
          </w:p>
        </w:tc>
      </w:tr>
      <w:tr w:rsidR="00610449" w:rsidRPr="007F0A0C" w:rsidTr="002F77E3">
        <w:tc>
          <w:tcPr>
            <w:tcW w:w="787" w:type="dxa"/>
          </w:tcPr>
          <w:p w:rsidR="00610449" w:rsidRPr="007F0A0C" w:rsidRDefault="00610449" w:rsidP="007F0A0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177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แผนเงินสำรองกรณีฉุกเฉินหรือจำเป็น</w:t>
            </w:r>
          </w:p>
        </w:tc>
        <w:tc>
          <w:tcPr>
            <w:tcW w:w="1985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10449" w:rsidRPr="007F0A0C" w:rsidTr="002F77E3">
        <w:tc>
          <w:tcPr>
            <w:tcW w:w="787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610449" w:rsidRPr="007F0A0C" w:rsidRDefault="00610449" w:rsidP="007F0A0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985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218.56</w:t>
            </w:r>
          </w:p>
        </w:tc>
        <w:tc>
          <w:tcPr>
            <w:tcW w:w="2126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168.58</w:t>
            </w:r>
          </w:p>
        </w:tc>
        <w:tc>
          <w:tcPr>
            <w:tcW w:w="1559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49.98</w:t>
            </w:r>
          </w:p>
        </w:tc>
      </w:tr>
    </w:tbl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5. ผลการดำเนินงานที่สำคัญของสภาองค์กรของผู้บริโภค ในปี 2565 เช่น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 xml:space="preserve">5.1 ศูนย์คุ้มครองผู้บริโภคแบบเบ็ดเสร็จ สภาองค์กรของผู้บริโภคได้รับเรื่องร้องเรียนจากผู้บริโภค ตั้งแต่เดือนตุลาคม 2564-30 กันยายน 2565 รวม </w:t>
      </w:r>
      <w:r w:rsidRPr="007F0A0C">
        <w:rPr>
          <w:rFonts w:ascii="TH SarabunPSK" w:hAnsi="TH SarabunPSK" w:cs="TH SarabunPSK"/>
          <w:sz w:val="32"/>
          <w:szCs w:val="32"/>
        </w:rPr>
        <w:t xml:space="preserve">8,356 </w:t>
      </w:r>
      <w:r w:rsidRPr="007F0A0C">
        <w:rPr>
          <w:rFonts w:ascii="TH SarabunPSK" w:hAnsi="TH SarabunPSK" w:cs="TH SarabunPSK"/>
          <w:sz w:val="32"/>
          <w:szCs w:val="32"/>
          <w:cs/>
        </w:rPr>
        <w:t>ราย ผู้บริโภคได้รับการชดเชย 222.21 ล้านบาท ส่วนหน่วยงานประจำจังหวัดมีการรับเรื่องร้องเรียนทั้งสิ้น 6</w:t>
      </w:r>
      <w:r w:rsidRPr="007F0A0C">
        <w:rPr>
          <w:rFonts w:ascii="TH SarabunPSK" w:hAnsi="TH SarabunPSK" w:cs="TH SarabunPSK"/>
          <w:sz w:val="32"/>
          <w:szCs w:val="32"/>
        </w:rPr>
        <w:t>,</w:t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308 ราย ผู้บริโภคได้รับการชดเชย 64.20 ล้านบาท     โดยสามารถช่วยเจรจา ไกล่เกลี่ยและแก้ไขปัญหาระหว่างผู้บริโภคกับผู้ประกอบธุรกิจให้เกิดการตกลงได้ข้อยุติ      </w:t>
      </w:r>
      <w:r w:rsidRPr="007F0A0C">
        <w:rPr>
          <w:rFonts w:ascii="TH SarabunPSK" w:hAnsi="TH SarabunPSK" w:cs="TH SarabunPSK"/>
          <w:sz w:val="32"/>
          <w:szCs w:val="32"/>
          <w:cs/>
        </w:rPr>
        <w:lastRenderedPageBreak/>
        <w:t>รวม 7</w:t>
      </w:r>
      <w:r w:rsidRPr="007F0A0C">
        <w:rPr>
          <w:rFonts w:ascii="TH SarabunPSK" w:hAnsi="TH SarabunPSK" w:cs="TH SarabunPSK"/>
          <w:sz w:val="32"/>
          <w:szCs w:val="32"/>
        </w:rPr>
        <w:t>,</w:t>
      </w:r>
      <w:r w:rsidRPr="007F0A0C">
        <w:rPr>
          <w:rFonts w:ascii="TH SarabunPSK" w:hAnsi="TH SarabunPSK" w:cs="TH SarabunPSK"/>
          <w:sz w:val="32"/>
          <w:szCs w:val="32"/>
          <w:cs/>
        </w:rPr>
        <w:t>690 กรณี (ร้อยละ 92.03) นอกจากนี้ ยังช่วยให้ข้อพิพาทของผู้บริโภคจำนวนมากยุติไปโดยเร็ว ไม่ต้องเป็นคดีสู่ศาล และปริมาณคดีในศาลลดลง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pacing w:val="-8"/>
          <w:sz w:val="32"/>
          <w:szCs w:val="32"/>
          <w:cs/>
        </w:rPr>
        <w:t xml:space="preserve">5.2 มีการดำเนินคดีเพื่อคุ้มครองสิทธิผู้บริโภค รวม 19 คดี มูลค่าความเสียหาย 70.45 ล้านบาท </w:t>
      </w:r>
      <w:r w:rsidRPr="007F0A0C">
        <w:rPr>
          <w:rFonts w:ascii="TH SarabunPSK" w:hAnsi="TH SarabunPSK" w:cs="TH SarabunPSK"/>
          <w:sz w:val="32"/>
          <w:szCs w:val="32"/>
          <w:cs/>
        </w:rPr>
        <w:t>เช่น เป็นโจทก์ฟ้องคดีแทนผู้บริโภคในกรณีคดีเกี่ยวกับผิดสัญญาให้บริการทางการแพทย์ คดีถูกริบเงินดาวน์/เงินจอง กรณีผู้บริโภคซื้อบ้านแต่กู้ไม่ผ่านและช่วยเหลือผู้บริโภคที่ถูกฟ้องจากการใช้สิทธิในฐานะผู้บริโภค เช่น กรณีผู้บริโภคถูกฟ้องให้รับผิดในสัญญาเช่าซื้ออสังหาริมทรัพย์และใช้ข้อสัญญาไม่เป็นธรรม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5.3 จัดทำข้อเสนอแนะเชิงนโยบายเพื่อเสนอต่อคณะรัฐมนตรี หน่วยงานของรัฐ            และผู้ประกอบการที่เกี่ยวกับการแก้ไขปัญหาของผู้บริโภค เช่น กรณีการต่อสัญญาสัมปทานรถไฟฟ้าสายสีเขียว     ความตกลงที่ครอบคลุมและก้าวหน้าสำหรับหุ้นส่วนทางเศรษฐกิจภาคพื้นแปซิฟิก และมาตรการคุ้มครองผู้บริโภคต่อการนำกัญชามาใช้ในอาหารและเครื่องดื่ม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5.4 จัดให้มี รวบรวม และเผยแพร่ข้อมูลเกี่ยวกับสินค้าหรือบริการอันจะเป็นประโยชน์ต่อผู้บริโภคในการตัดสินใจซื้อสินค้าหรือใช้บริการ เพื่อให้ประชาชนสามารถเข้าถึงได้โดยสะดวก รวมทั้งงานสื่อสารสาธารณะเพื่อการคุ้มครองผู้บริโภค ผ่านสื่อออนไลน์ ช่องทางต่าง ๆ เช่น เว็บไซต์สภาองค์กรของผู้บริโภค เฟซบุ๊ก ทวิตเตอร์ และอินสตาแกรม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6. สภาองค์กรของผู้บริโภคได้เสนอคำของบประมาณรายจ่ายประจำปีงบประมาณ พ.ศ. 2567 จำนวนทั้งสิ้น 322.52 ล้านบาท สำหรับ 5 แผนงาน สรุปได้ ดังนี้</w:t>
      </w:r>
    </w:p>
    <w:p w:rsidR="00610449" w:rsidRPr="007F0A0C" w:rsidRDefault="00610449" w:rsidP="007F0A0C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>หน่วย : ล้านบาท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799"/>
        <w:gridCol w:w="2835"/>
      </w:tblGrid>
      <w:tr w:rsidR="00610449" w:rsidRPr="007F0A0C" w:rsidTr="002F77E3">
        <w:tc>
          <w:tcPr>
            <w:tcW w:w="6799" w:type="dxa"/>
          </w:tcPr>
          <w:p w:rsidR="00610449" w:rsidRPr="007F0A0C" w:rsidRDefault="00610449" w:rsidP="007F0A0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2835" w:type="dxa"/>
          </w:tcPr>
          <w:p w:rsidR="00610449" w:rsidRPr="007F0A0C" w:rsidRDefault="00610449" w:rsidP="007F0A0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งบประมาณที่เสนอขอ</w:t>
            </w:r>
          </w:p>
        </w:tc>
      </w:tr>
      <w:tr w:rsidR="00610449" w:rsidRPr="007F0A0C" w:rsidTr="002F77E3">
        <w:tc>
          <w:tcPr>
            <w:tcW w:w="6799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แผนสนับสนุนและดำเนินการคุ้มครองและพิทักษ์สิทธิผู้บริโภค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(1.1) แผนงานการดำเนินงานคุ้มครองผู้บริโภคของศูนย์คุ้มครองผู้บริโภคแบบเบ็ดเสร็จและการไกล่เกลี่ยของสภาองค์กรของ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(1.1.1) การดำเนินงานคุ้มครองผู้บริโภคของศูนย์คุ้มครองผู้บริโภคแบบเบ็ดเสร็จและการไกล่เกลี่ยของสภาองค์กรของ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F0A0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(1.1.2) การพัฒนาศักยภาพและยกระดับมาตรการคุ้มครองสิทธิผู้บริโภค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(1.2) แผนงานสนับสนุนการฟ้องคดีเพื่อการคุ้มครองผู้บริโภค</w:t>
            </w:r>
          </w:p>
        </w:tc>
        <w:tc>
          <w:tcPr>
            <w:tcW w:w="2835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32.03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10.98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14.07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6.98</w:t>
            </w:r>
          </w:p>
        </w:tc>
      </w:tr>
      <w:tr w:rsidR="00610449" w:rsidRPr="007F0A0C" w:rsidTr="002F77E3">
        <w:tc>
          <w:tcPr>
            <w:tcW w:w="6799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แผนพัฒนานโยบายและมาตรการคุ้มครองผู้บริโภค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(2.1) แผนงานศึกษาเพื่อพัฒนานวัตกรรมและการจัดทำข้อเสนอแนะเชิงนโยบายเพื่อการคุ้มครองผู้บริโภค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การศึกษาเพื่อพัฒนานวัตกรรมและการจัดทำข้อเสนอแนะเชิงนโยบายเพื่อการคุ้มครองผู้บริโภค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(2.2) แผนงานพัฒนานโยบายเพื่อการคุ้มครองผู้บริโภคโดยคณะกรรมการนโยบายและคณะอนุกรรมการ 8 ด้าน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การพัฒนานโยบายเพื่อการคุ้มครองผู้บริโภคโดยคณะกรรมการนโยบายและคณะอนุกรรมการ 8 ด้าน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(2.3) แผนงานผลักดันและติดตามข้อเสนอแนะเชิงนโยบายและมาตรการคุ้มครองผู้บริโภค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การผลักดันและติดตามข้อเสนอแนะเชิงนโยบายและมาตรการคุ้มครองผู้บริโภค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(2.4) แผนงานรายงานการละเมิดสิทธิผู้บริโภคระดับจังหวัดประจำปี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การรายงานการละเมิดสิทธิผู้บริโภค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(2.5) แผนงานรายงานประจำปีและการประเมินผล</w:t>
            </w:r>
          </w:p>
        </w:tc>
        <w:tc>
          <w:tcPr>
            <w:tcW w:w="2835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43.55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17.14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6.56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16.47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1.60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1.78</w:t>
            </w:r>
          </w:p>
        </w:tc>
      </w:tr>
      <w:tr w:rsidR="00610449" w:rsidRPr="007F0A0C" w:rsidTr="002F77E3">
        <w:tc>
          <w:tcPr>
            <w:tcW w:w="6799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แผนสนับสนุนหน่วยงานประจำจังหวัด หน่วยงานเขตพื้นที่ สมาชิกและองค์กรผู้บริโภค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ab/>
            </w: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- โครงการพัฒนากลไกสภาองค์กรของผู้บริโภคประจำจังหวัด เขตพื้นที่สมาชิกและองค์กรผู้บริโภคในการรักษาผลประโยชน์ของผู้บริโภค</w:t>
            </w:r>
          </w:p>
        </w:tc>
        <w:tc>
          <w:tcPr>
            <w:tcW w:w="2835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128.70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128.70</w:t>
            </w:r>
          </w:p>
        </w:tc>
      </w:tr>
      <w:tr w:rsidR="00610449" w:rsidRPr="007F0A0C" w:rsidTr="002F77E3">
        <w:tc>
          <w:tcPr>
            <w:tcW w:w="6799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(4) </w:t>
            </w: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แผนสื่อสารเพื่อการคุ้มครองผู้บริโภค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(4.1) การสื่อสารเพื่อสร้างวัฒนธรรมใหม่ด้านการคุ้มครองผู้บริโภค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(4.2) การเผยแพร่ความรู้ให้ผู้บริโภคเท่าทันปัญหาและเพิ่มอำนาจต่อรองในยุคดิจิทัล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(4.3) การพัฒนาระบบเทคโนโลยีสารสนเทศเพื่อการคุ้มครองผู้บริโภค</w:t>
            </w:r>
          </w:p>
        </w:tc>
        <w:tc>
          <w:tcPr>
            <w:tcW w:w="2835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54.37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20.64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23.86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9.87</w:t>
            </w:r>
          </w:p>
        </w:tc>
      </w:tr>
      <w:tr w:rsidR="00610449" w:rsidRPr="007F0A0C" w:rsidTr="002F77E3">
        <w:tc>
          <w:tcPr>
            <w:tcW w:w="6799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(5) </w:t>
            </w: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แผนบริหารจัดการสำนักงานและพัฒนาศักยภาพสภาองค์กรของผู้บริโภค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(5.1) การบริหารจัดการสำนักงานสภาองค์กรของผู้บริโภค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(5.2) พัฒนาศักยภาพผู้ปฏิบัติงาน สำนักงานสภาองค์กรของผู้บริโภค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(5.3) ประเมินผลและปรับปรุงวิธีการทำงาน</w:t>
            </w:r>
          </w:p>
        </w:tc>
        <w:tc>
          <w:tcPr>
            <w:tcW w:w="2835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63.87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59.90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2.36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1.61</w:t>
            </w:r>
          </w:p>
        </w:tc>
      </w:tr>
      <w:tr w:rsidR="00610449" w:rsidRPr="007F0A0C" w:rsidTr="002F77E3">
        <w:tc>
          <w:tcPr>
            <w:tcW w:w="6799" w:type="dxa"/>
          </w:tcPr>
          <w:p w:rsidR="00610449" w:rsidRPr="007F0A0C" w:rsidRDefault="00610449" w:rsidP="007F0A0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รวมงบประมาณที่เสนอขอ</w:t>
            </w:r>
          </w:p>
        </w:tc>
        <w:tc>
          <w:tcPr>
            <w:tcW w:w="2835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322.52</w:t>
            </w:r>
          </w:p>
        </w:tc>
      </w:tr>
    </w:tbl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</w:rPr>
        <w:t>______________________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Pr="007F0A0C">
        <w:rPr>
          <w:rFonts w:ascii="TH SarabunPSK" w:hAnsi="TH SarabunPSK" w:cs="TH SarabunPSK"/>
          <w:sz w:val="32"/>
          <w:szCs w:val="32"/>
          <w:cs/>
        </w:rPr>
        <w:t>จากการประสานงานกับ สงป. เมื่อวันที่ 6 มกราคม 2566 ได้รับแจ้งว่า เนื่องจากในขณะนั้น สงป. ยังไม่มีข้อมูลประกอบการพิจารณาจัดสรรงบประมาณที่สมบูรณ์ เช่น รายงานการเงินของสภาองค์กรผู้บริโภคฉบับสมบูรณ์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10449" w:rsidRPr="007F0A0C" w:rsidRDefault="00AB685B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610449" w:rsidRPr="007F0A0C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ขอยกเว้นมติคณะรัฐมนตรีห้ามใช้ประโยชน์ป่าชายเลน ในการขอใช้ประโยชน์พื้นที่ป่าชายเลนบริเวณตำบลรูสะมิแล อำเภอเมือง จังหวัดปัตตานี เพื่อขยายพื้นที่สำหรับการดำเนินการจัดการเรียนการสอนของสถาบันวิทยาลัยชุมชน วิทยาลัยชุมชนปัตตานี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คณะรัฐมนตรีมีมติเห็นชอบตามที่กระทรวงการอุดมศึกษา วิทยาศาสตร์ วิจัยและนวัตกรรม (อว.) เสนอ การขอยกเว้นมติคณะรัฐมนตรีเมื่อวันที่ 15 ธันวาคม 2530 วันที่ 23 กรกฎาคม 2534 วันที่ 22 สิงหาคม 2543 และวันที่ 17 ตุลาคม 2543 ในการขอใช้ประโยชน์พื้นที่ป่าชายเลน เนื้อที่จำนวน 1.08 ไร่ (1 – 0 – 32 ไร่)       บริเวณตำบลรูสะมิแล อำเภอเมือง จังหวัดปัตตานี เพื่อขยายพื้นที่สำหรับการดำเนินการจัดการเรียนการสอนของสถาบันวิทยาลัยชุมชน วิทยาลัยชุมชนปัตตานี (สถาบันฯ) 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36651E">
        <w:rPr>
          <w:rFonts w:ascii="TH SarabunPSK" w:hAnsi="TH SarabunPSK" w:cs="TH SarabunPSK"/>
          <w:spacing w:val="-6"/>
          <w:sz w:val="32"/>
          <w:szCs w:val="32"/>
          <w:cs/>
        </w:rPr>
        <w:t>สำหรับค่าใช้จ่ายในการปลูกและบำรุงรักษาป่าชายเลนทดแทนไม่น้อยกว่า 20 เท่า ของพื้นที่ป่าชายเลน</w:t>
      </w:r>
      <w:r w:rsidRPr="007F0A0C">
        <w:rPr>
          <w:rFonts w:ascii="TH SarabunPSK" w:hAnsi="TH SarabunPSK" w:cs="TH SarabunPSK"/>
          <w:sz w:val="32"/>
          <w:szCs w:val="32"/>
          <w:cs/>
        </w:rPr>
        <w:t>ที่ใช้ประโยชน์ ตามระเบียบกรมทรัพยากรทางทะเลและชายฝั่งฯ พ.ศ. 2556 ให้สถาบันวิทยาลัยชุมชนพิจารณาปรับแผนการปฏิบัติงานและแผนการใช้จ่ายงบประมาณ โอนเงินจัดสรรหรือเปลี่ยนแปลงเงินจัดสรร ตามระเบียบว่าด้วยการบริหารงบประมาณ พ.ศ. 2562 หรือเสนอขอตั้งงบประมาณรายจ่ายประจำปีตามความจำเป็นและเหมาะสม แล้วแต่กรณี ตามขั้นตอนของกฎหมาย ระเบียบ ข้อบังคับและมติคณะรัฐมนตรีที่เกี่ยวข้องให้ถูกต้องครบถ้วนในทุกมิติ ตามความเห็นของสำนักงบประมาณ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สาระสำคัญของเรี่อง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อว. รายงานว่า 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1. ปัจจุบันสถาบันฯ ตำบลรูสะมิแล อำเภอเมือง จังหวัดปัตตานี มีการจัดการเรียนการสอนหลักสูตรอนุปริญญา จำนวน 6 หลักสูตร (ได้แก่ สาขาวิชาการจัดการ สาขาวิชาคอมพิวเตอร์ธุรกิจ สาขาวิชาการปกครองท้องถิ่น สาขาวิชาการศึกษาปฐมวัย สาขาวิชาสาธารณสุขชุมชน และสาขาวิชาอิสลามศึกษา) มีจำนวนนักศึกษา     รวมทั้งสิ้น 1</w:t>
      </w:r>
      <w:r w:rsidRPr="007F0A0C">
        <w:rPr>
          <w:rFonts w:ascii="TH SarabunPSK" w:hAnsi="TH SarabunPSK" w:cs="TH SarabunPSK"/>
          <w:sz w:val="32"/>
          <w:szCs w:val="32"/>
        </w:rPr>
        <w:t>,</w:t>
      </w:r>
      <w:r w:rsidRPr="007F0A0C">
        <w:rPr>
          <w:rFonts w:ascii="TH SarabunPSK" w:hAnsi="TH SarabunPSK" w:cs="TH SarabunPSK"/>
          <w:sz w:val="32"/>
          <w:szCs w:val="32"/>
          <w:cs/>
        </w:rPr>
        <w:t>125 คน (ข้อมูล ณ ปีการศึกษา 2564) ตั้งอยู่บนพื้นที่ 8.75 ไร่ (8 – 3 – 0 ไร่) ซึ่งได้มีการใช้ประโยชน์</w:t>
      </w:r>
      <w:r w:rsidR="0036651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F0A0C">
        <w:rPr>
          <w:rFonts w:ascii="TH SarabunPSK" w:hAnsi="TH SarabunPSK" w:cs="TH SarabunPSK"/>
          <w:sz w:val="32"/>
          <w:szCs w:val="32"/>
          <w:cs/>
        </w:rPr>
        <w:t>ในการจัดสร้างอาคารต่าง ๆ สำหรับการจัดการเรียนการสอนจนเต็มพื้นที่แล้ว โดยวิทยาลัยชุมชนปัตตานีมีแผน</w:t>
      </w:r>
      <w:r w:rsidR="0036651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การจัดการเรียนการสอนเพิ่มเติมอีก 5 หลักสูตร [ได้แก่ สาขาวิชาการจัดการสุขภาวะผู้สูงอายุในชุมชน </w:t>
      </w:r>
      <w:r w:rsidR="0036651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(เริ่มรับนักศึกษามาแล้วตั้งแต่ปีการศึกษา 2563) สาขาวิชาเกษตรและการแปรรูป สาขาวิชาการจัดการธุรกิจการท่องเที่ยว สาขาวิชาการประกอบอาหารฮาลาล และสาขาวิชาการจัดการธุรกิจดิจิทัลและนวัตกรรม) จึงได้ขอขยายการใช้ประโยชน์ที่ดินบริเวณด้านหลังของวิทยาลัยชุมชนปัตตานีไปยังผู้ว่าราชการจังหวัดปัตตานี จำนวน 6.52 ไร่ </w:t>
      </w:r>
      <w:r w:rsidR="0036651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F0A0C">
        <w:rPr>
          <w:rFonts w:ascii="TH SarabunPSK" w:hAnsi="TH SarabunPSK" w:cs="TH SarabunPSK"/>
          <w:sz w:val="32"/>
          <w:szCs w:val="32"/>
          <w:cs/>
        </w:rPr>
        <w:t>(6 – 2 – 8 ไร่) เพื่อขยายพื้นที่สำหรับการดำเนินการจัดการเรียนการสอนของสถาบันฯโดยจังหวั</w:t>
      </w:r>
      <w:r w:rsidR="0036651E">
        <w:rPr>
          <w:rFonts w:ascii="TH SarabunPSK" w:hAnsi="TH SarabunPSK" w:cs="TH SarabunPSK"/>
          <w:sz w:val="32"/>
          <w:szCs w:val="32"/>
          <w:cs/>
        </w:rPr>
        <w:t>ดปัตตานีแจ้งว่า</w:t>
      </w:r>
      <w:r w:rsidR="003665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651E">
        <w:rPr>
          <w:rFonts w:ascii="TH SarabunPSK" w:hAnsi="TH SarabunPSK" w:cs="TH SarabunPSK"/>
          <w:sz w:val="32"/>
          <w:szCs w:val="32"/>
          <w:cs/>
        </w:rPr>
        <w:t>พื้นที่ 6.52 ไร่</w:t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 (6 – 2 – 8 ไร่) ดังกล่าวอยู่ในเขตพื้นที่ป่าชายเลนตามมติคณะรัฐมนตรีเมื่อวันที่ 15 ธันวาคม 2530 </w:t>
      </w:r>
      <w:r w:rsidRPr="007F0A0C">
        <w:rPr>
          <w:rFonts w:ascii="TH SarabunPSK" w:hAnsi="TH SarabunPSK" w:cs="TH SarabunPSK"/>
          <w:sz w:val="32"/>
          <w:szCs w:val="32"/>
          <w:cs/>
        </w:rPr>
        <w:lastRenderedPageBreak/>
        <w:t>สถาบันฯ</w:t>
      </w:r>
      <w:r w:rsidR="003665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จึงได้มีหนังสือถึงกระทรวงทรัพยากรธรรมชาติและสิ่งแวดล้อม (ทส.) เพื่อพิจารณาให้ความเห็นในการขอใช้ประโยชน์ที่ดินป่าชายเลนเนื้อที่ประมาณ 6.52 ไร่ (6 – 2 – 8 ไร่) ตามมติคณะรัฐมนตรีดังกล่าว 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7F0A0C">
        <w:rPr>
          <w:rFonts w:ascii="TH SarabunPSK" w:hAnsi="TH SarabunPSK" w:cs="TH SarabunPSK"/>
          <w:b/>
          <w:bCs/>
          <w:sz w:val="32"/>
          <w:szCs w:val="32"/>
          <w:cs/>
        </w:rPr>
        <w:t>ทส.</w:t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 (กรมทรัพยากรทางทะเลและชายฝั่ง) พิจารณาแล้วมีความเห็นสรุปได้ ดังนี้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 xml:space="preserve">2.1 จากการตรวจสอบพบว่า พื้นที่ดังกล่าวเป็นพื้นที่ทับซ้อนกับแปลงที่ศาลจังหวัดปัตตานีได้ดำเนินการขออนุญาตใช้ที่ดินต่อผู้ว่าราชการจังหวัดปัตตานีแล้วซึ่งให้ศาลจังหวัดปัตตานีเป็นผู้ใช้ประโยชน์         เพื่อสร้างศาลแขวงปัตตานี และพื้นที่ส่วนที่เหลืออีกประมาณ 2.3 ไร่ (2 – 1 – 20 ไร่) ให้วิทยาลัยชุมชนปัตตานีพิจารณาดำเนินการขออนุญาตใช้ประโยชน์ โดยมีพื้นที่อยู่ในเขตป่าชายเลนตามมติคณะรัฐมนตรีเมื่อวันที่ </w:t>
      </w:r>
      <w:r w:rsidR="00F77F6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F0A0C">
        <w:rPr>
          <w:rFonts w:ascii="TH SarabunPSK" w:hAnsi="TH SarabunPSK" w:cs="TH SarabunPSK"/>
          <w:sz w:val="32"/>
          <w:szCs w:val="32"/>
          <w:cs/>
        </w:rPr>
        <w:t>15 ธันวาคม 2530 และวันที่ 22 สิงหาคม 2543 เนื้อที่ 1.08 ไร่ (1 – 0 – 32 ไร่) ประกอบกับพื้นที่ดังกล่าวมีสภาพเป็นป่าชายเลนเสื่อมโทรม มีวัชพืชและไม้พื้นล่างปกคลุมเต็มพื้นที่ และมีพันธุ์ไม้ป่าชายเลนขนาดเล็กขึ้นอยู่กระจัดกระจายเล็กน้อย จึงไม่ขัดข้องให้สถาบันฯ เข้าทำประโยชน์ในพื้นที่ป่าชายเลน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2.2 การดำเนินโครงการในพื้นที่ป่าชายเลน หน่วยงานเจ้าของเรื่องจะต้องดำเนินการตามแนวทางปฏิบัติที่เกี่ยวข้อง ดังนี้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 xml:space="preserve">2.2.1 เสนอเรื่องขอยกเว้นมติคณะรัฐมนตรีที่ห้ามใช้ประโยชน์ป่าชายเลน      ได้แก่ มติคณะรัฐมนตรีเมื่อวันที่ 15 ธันวาคม 2530 วันที่ 23 กรกฎาคม 2534 วันที่ 22 สิงหาคม 2543 และวันที่ </w:t>
      </w:r>
      <w:r w:rsidR="0009241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F0A0C">
        <w:rPr>
          <w:rFonts w:ascii="TH SarabunPSK" w:hAnsi="TH SarabunPSK" w:cs="TH SarabunPSK"/>
          <w:sz w:val="32"/>
          <w:szCs w:val="32"/>
          <w:cs/>
        </w:rPr>
        <w:t>17 ตุลาคม 2543 โดยหน่วยงานเจ้าของโครงการต้องดำเนินการตามมติคณะรัฐมนตรีเมื่อวันที่ 29 มกราคม 2556       โดยจัดสรรงบประมาณให้กับกรมทรัพยากรทางทะเลและชายฝั่ง เพื่อเป็นค่าใช้จ่ายในการปลูกป่าทดแทนเพื่อการอนุรักษ์หรือรักษาสภาพแวดล้อมไม่น้อยกว่า 20 เท่า ของพื้นที่ป่าชายเลนที่ใช้ประโยชน์ ตามระเบียบกรมทรัพยากรทางทะเลและชายฝั่ง ว่าด้วยการปลูกและบำรุงรักษาป่าชายเลนทดแทนเพื่อการอนุรักษ์ หรือรักษาสภาพแวดล้อม กรณีการดำเนินการโครงการใด ๆ ของหน่วยงานของรัฐที่มีความจำเป็นต้องเข้าใช้ประโยชน์ในพื้นที่ป่าชายเลน     พ.ศ. 2556 (ระเบียบกรมทรัพยากรทางทะเลและชายฝั่งฯ พ.ศ. 2556) อย่างเคร่งครัด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2.2.2 เมื่อคณะรัฐมนตรีมีมติให้ยกเว้นแล้ว จึงเสนอเรื่องต่อกรมทรัพยากรทางทะเลและชายฝั่งเพื่อขออนุญาตทำประโยชน์ในเขตป่าชายเลน โดยหากเป็นโครงการที่เข้าข่ายต้องจัดทำรายงานการประเมินผลกระทบสิ่งแวดล้อมให้แนบรายงานผลการประเมินผลกระทบสิ่งแวดล้อมที่ได้รับความเห็นชอบแล้วเสนอกรมทรัพยากรทางทะเลและชายฝั่งดำเนินการตามขั้นตอนและระเบียบที่เกี่ยวข้อง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3. วิทยาลัยชุมชนปัตตานีได้มีหนังสือถึงสำนักงานทรัพยากรทางทะเลและชายฝั่งที่ 9 เพื่อขอให้ตรวจสอบพื้นที่จำนวน 1.08 ไร่ (1 – 0 – 32 ไร่) ดังกล่าว (เมื่อวันที่ 28 มีนาคม 2565) ผลการตรวจสอบ</w:t>
      </w:r>
      <w:r w:rsidR="00C869F9" w:rsidRPr="007F0A0C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พบว่าพื้นที่ของวิทยาลัยชุมชนปัตตานีอยู่ในเขตป่าชายเลนตามมติคณะรัฐมนตรี เนื้อที่ 1.08 ไร่ (1 – 0 – 32 ไร่) </w:t>
      </w:r>
      <w:r w:rsidR="0088282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F0A0C">
        <w:rPr>
          <w:rFonts w:ascii="TH SarabunPSK" w:hAnsi="TH SarabunPSK" w:cs="TH SarabunPSK"/>
          <w:sz w:val="32"/>
          <w:szCs w:val="32"/>
          <w:cs/>
        </w:rPr>
        <w:t>โดยไม่ทับซ้อนกับพื้นที่ที่ศาลจังหวัดปัตตานีขอใช้พื้นที่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4. การประชุมสภาเทศบาลตำบลรูสะมิแล สมัยสามัญ สมัยที่ 2 ประจำปี 2565 เมื่อวันที่ 30 พฤษภาคม 2565 มีมติเห็นชอบกรณีวิทยาลัยชุมชนปัตตานีขอถอนสภาพและขออนุญาตใช้ประโยชน์ในที่ดินของรัฐตามมาตรา 9 แห่งประมวลกฎหมายที่ดินและขออนุญาตแผ้วถางป่าตามมาตรา 54 แห่งพระราชบัญญัติป่าไม้       พ.ศ. 2484 เนื้อที่ 2.3235 ไร่ (2 – 1 – 29.4 ไร่) รวมถึงได้ผ่านการประชุมประชาคมรับฟังความคิดเห็นของประชาชนในพื้นที่เมื่อวันที่ 12 พฤษภาคม 2565 ด้วยแล้ว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pacing w:val="-6"/>
          <w:sz w:val="32"/>
          <w:szCs w:val="32"/>
          <w:cs/>
        </w:rPr>
        <w:t>5. สถาบันฯ จึงได้จัดทำข้อมูลโครงการการใช้ประโยชน์ที่ดินเพิ่มเติมบนเนื้อที่ 2.29 ไร่ (2 – 1 – 16 ไร่)</w:t>
      </w:r>
      <w:r w:rsidRPr="007F0A0C">
        <w:rPr>
          <w:rFonts w:ascii="TH SarabunPSK" w:hAnsi="TH SarabunPSK" w:cs="TH SarabunPSK"/>
          <w:spacing w:val="-10"/>
          <w:sz w:val="32"/>
          <w:szCs w:val="32"/>
          <w:cs/>
        </w:rPr>
        <w:t xml:space="preserve"> [จากการตรวจสอบพื้นที่ของ ทส. พบว่า มีพื้นที่ที่สามารถขออนุญาตใช้ประโยชน์ได้อีกประมาณ 2.3 ไร่ (2 – 1 – 20 ไร่)</w:t>
      </w:r>
      <w:r w:rsidR="00C869F9" w:rsidRPr="007F0A0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 โดยมีพื้นที่อยู่ในเขตป่าชายเลนตามมติคณะรัฐมนตรี จำนวน 1.08 ไร่ (ตามข้อ 2.1)] โดยโครงการดังกล่าวเป็นการก่อสร้าง (1) อาคารเรียน 4 ชั้น จำนวน 1 หลัง เนื้อที่ประมาณ 1.29 ไร่ (1 – 1 – 16 ไร่) เพื่อใช้ใการจัดการเรียนการสอนหลักสูตรระดับอนุปริญญาเพิ่มเติมทั้ง 5 หลักสูตร และ (2) อาคารศูนย์การเรียนรู้ชุมชน จำนวน 1 หลัง               เนื้อที่ประมาณ 1 ไร่ เพื่อดำเนินภารกิจ 4 ด้าน ได้แก่ การบริการวิชาการ การสนับสนุนและการดำเนินการวิจัย           </w:t>
      </w:r>
      <w:r w:rsidR="00D53E93">
        <w:rPr>
          <w:rFonts w:ascii="TH SarabunPSK" w:hAnsi="TH SarabunPSK" w:cs="TH SarabunPSK"/>
          <w:sz w:val="32"/>
          <w:szCs w:val="32"/>
          <w:cs/>
        </w:rPr>
        <w:t xml:space="preserve">การสนับสนุนการเรียนการสอน </w:t>
      </w:r>
      <w:r w:rsidRPr="007F0A0C">
        <w:rPr>
          <w:rFonts w:ascii="TH SarabunPSK" w:hAnsi="TH SarabunPSK" w:cs="TH SarabunPSK"/>
          <w:sz w:val="32"/>
          <w:szCs w:val="32"/>
          <w:cs/>
        </w:rPr>
        <w:t>และเป็นแหล่งแสดงสาธิตการทำเกษตรแบบครบวงจรที่มีความสอดคล้องกับหลักปรัชญาเศรษฐกิจพอเพียงตลอดจนเป็นศูนย์การแสดงผลิตภัณฑ์ชุมชน รวมถึงได้จัดทำแผนการจัดสรรงบประมาณเพื่อเป็นค่าใช้จ่ายในการปลูกป่าทดแทนเพื่อการอนุรักษ์หรือรักษาสภาพแวดล้อม ไม่น้อยกว่า 20 เท่าของพื้นที่ป่าชายเลนที่ใช้ประโยชน์ ตามระเบียบกรมทรัพยากรทางทะเลและชายฝั่งฯ พ.ศ. 2556 ทั้งนี้ มีแผนจะเริ่มดำเนินการในปีงบประมาณ 2566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10449" w:rsidRPr="007F0A0C" w:rsidRDefault="00AB685B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8. </w:t>
      </w:r>
      <w:r w:rsidR="00610449" w:rsidRPr="007F0A0C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การพิจารณากำหนด “วันความปลอดภัยของผู้ใช้ถนน”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2822">
        <w:rPr>
          <w:rFonts w:ascii="TH SarabunPSK" w:hAnsi="TH SarabunPSK" w:cs="TH SarabunPSK"/>
          <w:spacing w:val="-6"/>
          <w:sz w:val="32"/>
          <w:szCs w:val="32"/>
          <w:cs/>
        </w:rPr>
        <w:t xml:space="preserve">คณะรัฐมนตรีมีมติเห็นชอบกำหนดให้วันที่ 21 มกราคมของทุกปี เป็น “วันความปลอดภัยของผู้ใช้ถนน” </w:t>
      </w:r>
      <w:r w:rsidRPr="007F0A0C">
        <w:rPr>
          <w:rFonts w:ascii="TH SarabunPSK" w:hAnsi="TH SarabunPSK" w:cs="TH SarabunPSK"/>
          <w:sz w:val="32"/>
          <w:szCs w:val="32"/>
          <w:cs/>
        </w:rPr>
        <w:t>ตามที่ศูนย์อำนวยการความปลอดภัยทางถนน (ศปถ.) เสนอ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ศปถ. รายงานว่า 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1. ปัจจุบันการเกิดอุบัติเหตุทางถนนของประเทศไทยอยู่ในภาวะวิกฤติซึ่งปัจจัยสำคัญเกิดจากพฤติกรรมของคนไทยที่ขาดระเบียบวินัยและขาดจิตสำนึกในการสร้างวัฒนธรรมความปลอดภัยในการใช้รถใช้ถนน ซึ่งก่อให้เกิดความสูญเสียในชีวิตและทรัพย์สินของคนไทยเป็นอย่างมาก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 xml:space="preserve">2. จากกรณีข่าวการเกิดอุบัติเหตุทางถนนเมื่อวันที่ 21 มกราคม 2565 กรณีแพทย์หญิงวราลัคน์ สุภวัตรจริยากุล (หมอกระต่าย) แพทย์ผู้ชำนาญการด้านจักษุวิทยา ภาควิชาจักษุวิทยา คณะแพทยศาสตร์ จุฬาลงกรณ์มหาวิทยาลัย ถูกรถจักรยานยนต์ชนขณะเดินข้ามถนนบนทางม้าลาย บริเวณหน้าโรงพยาบาลสถาบันโรคไตภูมิราชนครินทร์ ถนนพญาไท เขตราชเทวี กรุงเทพมหานคร จนเป็นเหตุให้หมอกระต่ายเสียชีวิต เลขาธิการมูลนิธิเมาไม่ขับ (นายแพทย์แท้จริง ศิริพานิช) จึงได้เข้าพบนายกรัฐมนตรีเพื่อหารือเรื่องการป้องกันอุบัติเหตุทางถนน </w:t>
      </w:r>
      <w:r w:rsidR="0088282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82822">
        <w:rPr>
          <w:rFonts w:ascii="TH SarabunPSK" w:hAnsi="TH SarabunPSK" w:cs="TH SarabunPSK"/>
          <w:spacing w:val="-2"/>
          <w:sz w:val="32"/>
          <w:szCs w:val="32"/>
          <w:cs/>
        </w:rPr>
        <w:t>โดยมูลนิธิเมาไม่ขับ จึงขอเสนอรัฐบาลพิจารณากำหนดให้วันที่ 21 มกราคมของทุกปี เป็น “วันถนนปลอดภัยแห่งชาติ”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3. คณะกรรมการศูนย์อำนวยการความปลอดภัยทางถนน (คณะกรรมการ ศปถ.)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2822">
        <w:rPr>
          <w:rFonts w:ascii="TH SarabunPSK" w:hAnsi="TH SarabunPSK" w:cs="TH SarabunPSK"/>
          <w:spacing w:val="-6"/>
          <w:sz w:val="32"/>
          <w:szCs w:val="32"/>
          <w:cs/>
        </w:rPr>
        <w:t>(รัฐมนตรีว่าการกระทรวงมหาดไทยเป็นประธาน) ในคราวประชุม ครั้งที่ 1/2565 เมื่อวันพฤหัสบดีที่ 31  มีนาคม 2565</w:t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282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F0A0C">
        <w:rPr>
          <w:rFonts w:ascii="TH SarabunPSK" w:hAnsi="TH SarabunPSK" w:cs="TH SarabunPSK"/>
          <w:sz w:val="32"/>
          <w:szCs w:val="32"/>
          <w:cs/>
        </w:rPr>
        <w:t>ได้มีมติเห็นชอบในหลักการเรื่องการกำหนดให้วันที่ 21 มกราคมของทุกปี เป็นวันเกี่ยวกับเรื่องความปลอดภัย โดยให้ฝ่ายเลขานุการดำเนินการสอบถามความคิดเห็นจากทุกหน่วยงานที่เกี่ย</w:t>
      </w:r>
      <w:r w:rsidR="00882822">
        <w:rPr>
          <w:rFonts w:ascii="TH SarabunPSK" w:hAnsi="TH SarabunPSK" w:cs="TH SarabunPSK"/>
          <w:sz w:val="32"/>
          <w:szCs w:val="32"/>
          <w:cs/>
        </w:rPr>
        <w:t xml:space="preserve">วข้องในคณะอนุกรรมการชุดต่าง ๆ </w:t>
      </w:r>
      <w:r w:rsidRPr="007F0A0C">
        <w:rPr>
          <w:rFonts w:ascii="TH SarabunPSK" w:hAnsi="TH SarabunPSK" w:cs="TH SarabunPSK"/>
          <w:sz w:val="32"/>
          <w:szCs w:val="32"/>
          <w:cs/>
        </w:rPr>
        <w:t>แล้วให้นำเสนอที่ประชุมคณะกรรมการ ศปถ. เพื่อพิจารณาต่อไป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4. ต่อมาในคราวประชุมคณะกรรมการ ศปถ. ครั้งที่ 2/2565 เมื่อวันจันทร์ที่ 8 สิงหาคม 2565       ที่ประ</w:t>
      </w:r>
      <w:r w:rsidR="00D53E93">
        <w:rPr>
          <w:rFonts w:ascii="TH SarabunPSK" w:hAnsi="TH SarabunPSK" w:cs="TH SarabunPSK"/>
          <w:sz w:val="32"/>
          <w:szCs w:val="32"/>
          <w:cs/>
        </w:rPr>
        <w:t>ชุมมีมติเห็นชอบกำหนดให้วันที่ 21</w:t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 มกราคมของทุกปี เป็น “วันความปลอดภัยของผู้ใช้ถนน”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5. ต่อมาคณะกรรมการนโยบายการป้องกันและอุบัติเหตุทางถนนแห่งชาติ [รองนายกรัฐมนตรี     (พลเอก ประวิตร วงษ์สุวรรณ) เป็นประธาน] ในคราวประชุม ครั้งที่ 2/2565 เมื่อวันพฤหัสบดีที่ 20 ตุลาคม 2565          ที่ประชุมมีมติรับทราบเรื่อง การกำหนดให้มีวันเกี่ยวกับความปลอดภัยทางถนนของประเทศ และมอบหมายให้</w:t>
      </w:r>
      <w:r w:rsidR="0088282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82822">
        <w:rPr>
          <w:rFonts w:ascii="TH SarabunPSK" w:hAnsi="TH SarabunPSK" w:cs="TH SarabunPSK"/>
          <w:spacing w:val="-2"/>
          <w:sz w:val="32"/>
          <w:szCs w:val="32"/>
          <w:cs/>
        </w:rPr>
        <w:t>ฝ่ายเลขานุการคณะกรรมการ ศปถ. เสนอคณะรัฐมนตรีพิจารณาให้ความเห็นชอบกำหนดให้วันที่ 21 มกราคมของทุกปี</w:t>
      </w:r>
      <w:r w:rsidRPr="007F0A0C">
        <w:rPr>
          <w:rFonts w:ascii="TH SarabunPSK" w:hAnsi="TH SarabunPSK" w:cs="TH SarabunPSK"/>
          <w:sz w:val="32"/>
          <w:szCs w:val="32"/>
          <w:cs/>
        </w:rPr>
        <w:t>เป็น “วันความปลอดภัยของใช้ถนน”</w:t>
      </w:r>
    </w:p>
    <w:p w:rsidR="002D2635" w:rsidRPr="007F0A0C" w:rsidRDefault="00610449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6. เพื่อเป็นการหยุดความสูญเสียจากการเกิดอุบัติเหตุบนท้องถนนและไม่ให้เกิดเหตุการณ์รถชน</w:t>
      </w:r>
      <w:r w:rsidR="0088282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คนข้ามทางม้าลายเกิดขึ้นซ้ำอีก และเพื่อกระตุ้นเตือน สร้างความตระหนักให้มีจิตสำนึกรักความปลอดภัยแก่ผู้ใช้ถนน    </w:t>
      </w:r>
      <w:r w:rsidRPr="00882822">
        <w:rPr>
          <w:rFonts w:ascii="TH SarabunPSK" w:hAnsi="TH SarabunPSK" w:cs="TH SarabunPSK"/>
          <w:spacing w:val="-6"/>
          <w:sz w:val="32"/>
          <w:szCs w:val="32"/>
          <w:cs/>
        </w:rPr>
        <w:t>ทุกเพศ ทุกวัย และผู้ขับขี่ยานพาหนะทุกประเภท ตลอดจนส่งเสริมและสร้างการรับรู้ให้เกิดเป็นวัฒนธรรมความปลอดภัย</w:t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 มีระเบียบวินัยในการใช้รถ ใช้ถนน ปฏิบัติตามกฎจราจรอย่างเคร่งครัด เพื่อป้องกันมิให้เกิดการบาดเจ็บหรือ</w:t>
      </w:r>
      <w:r w:rsidRPr="00882822">
        <w:rPr>
          <w:rFonts w:ascii="TH SarabunPSK" w:hAnsi="TH SarabunPSK" w:cs="TH SarabunPSK"/>
          <w:spacing w:val="-4"/>
          <w:sz w:val="32"/>
          <w:szCs w:val="32"/>
          <w:cs/>
        </w:rPr>
        <w:t>เสียชีวิต</w:t>
      </w:r>
      <w:r w:rsidRPr="00882822">
        <w:rPr>
          <w:rFonts w:ascii="TH SarabunPSK" w:hAnsi="TH SarabunPSK" w:cs="TH SarabunPSK"/>
          <w:sz w:val="32"/>
          <w:szCs w:val="32"/>
          <w:cs/>
        </w:rPr>
        <w:t>จากอุบัติเหตุทางถนนขึ้นอีก จึงเห็นควรกำหนดให้วันที่ 21 มกราคมของทุกปี เป็น “วันความปลอดภัยของผู้ใช้ถนน”</w:t>
      </w:r>
    </w:p>
    <w:p w:rsidR="002D2635" w:rsidRPr="007F0A0C" w:rsidRDefault="002D2635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E97642" w:rsidRPr="007F0A0C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9. </w:t>
      </w:r>
      <w:r w:rsidR="00E97642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ภาวะสังคมไทยไตรมาสสาม ปี 2565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คณะรัฐมนตรีรับทราบตามที่สำนักงานสภาพัฒนาการเศรษฐกิจและสังคมแห่งชาติ (สศช.) เสนอภาวะสังคมไทยไตรมาสสาม (เดือนกรกฎาคม-กันยายน ) ปี 2565 [เป็นการดำเนินการตามพระราชบัญญัติสภาพัฒนาการเศรษฐกิจและสังคมแห่งชาติ พ.ศ. 2561 มาตรา 20 (5) ที่บัญญัติให้ สศช. รายงานสภาวะเศรษฐกิจ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และสังคมของประเทศเสนอคณะรัฐมนตรีเพื่อทราบ] สรุปสาระสำคัญได้ ดังนี้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ความเคลื่อนไหวทางสังคมไตรมาสสาม ปี 2565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1.1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สถานการณ์ด้านแรงงาน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โดย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ด้านการจ้างงาน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มีจำนวน 39.6 ล้านคน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เพิ่มขึ้น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ร้อยละ 2.1 จากไตรมาสเดียวกันของปี 2564 เนื่องจากการเพิ่มขึ้นของการจ้างงานนอกภาคเกษตรกรรม จำนวน 27.2 ล้านคน เพิ่มขึ้นร้อยละ 4.3 เช่น สาขาค้าส่งค้าปลีกเพิ่มขึ้นร้อยละ 4.5 และสาขาโรงแรมและภัตตาคารเพิ่มขึ้นร้อยละ 8.3 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ซึ่งเป็นผลมาจากจำนวนนักท่องเที่ยวต่างชาติเดินทางเข้าประเทศไทยเพิ่มมากขึ้น และสาขาการผลิตเพิ่มขึ้น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ร้อยละ 1.4 สอดรับกับอัตราการใช้กำลังการผลิตและการส่งออกที่ขยายตัวอย่างต่อเนื่อง ขณะที่ภาคการเกษตรมีการจ้างงานลดลงร้อยละ 2.4 เนื่องจากปัญหาอุทกภัย ส่วน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ด้านค่าจ้างแรงงาน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ปรับ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เพิ่มสูงขึ้น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ต่อเนื่องแต่ค่า</w:t>
      </w:r>
      <w:r w:rsidR="00347106" w:rsidRPr="007F0A0C">
        <w:rPr>
          <w:rFonts w:ascii="TH SarabunPSK" w:eastAsia="Calibri" w:hAnsi="TH SarabunPSK" w:cs="TH SarabunPSK"/>
          <w:sz w:val="32"/>
          <w:szCs w:val="32"/>
          <w:cs/>
        </w:rPr>
        <w:t>จ้างที่แท้จริงหดตัวลงร้อยละ 3.1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จากช่วงเดียวกันของปี 2564 ขณะที่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อัตราการว่างงาน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ปรับตัว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ลดลง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เหลือเพียงร้อยละ 1.23 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โดยมีผู้ว่างงาน 4.9 แสนคน ทั้งนี้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ประเด็นที่ต้องติดตามในระยะถัดไป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เช่น การบรรเทาภาระค่าครองชีพโดยเฉพาะแรงงานนอกระบบ การช่วยเหลือเยียวยาผู้ได้รับผลกระทบจากอุทกภัยโดยเฉพาะกลุ่มเกษตรกรที่ยากจน 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และการสนับสนุนให้ผู้ว่างงานเข้าสู่ระบบการอบรมและพัฒนาทักษะในการประกอบอาชีพเกี่ยวกับภาคการท่องเที่ยว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1.2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หนี้สินครัวเรือน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มีมูลค่า 14.76 ล้านบาท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ชะลอตัวลง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เหลือร้อยละ 3.5 และ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สัดส่วนหนี้สินครัวเรือนต่อผลิตภัณฑ์รวมในประเทศ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F0A0C">
        <w:rPr>
          <w:rFonts w:ascii="TH SarabunPSK" w:eastAsia="Calibri" w:hAnsi="TH SarabunPSK" w:cs="TH SarabunPSK"/>
          <w:sz w:val="32"/>
          <w:szCs w:val="32"/>
        </w:rPr>
        <w:t>Gross domestic product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F0A0C">
        <w:rPr>
          <w:rFonts w:ascii="TH SarabunPSK" w:eastAsia="Calibri" w:hAnsi="TH SarabunPSK" w:cs="TH SarabunPSK"/>
          <w:sz w:val="32"/>
          <w:szCs w:val="32"/>
        </w:rPr>
        <w:t>GDP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) ลดลงเป็นร้อยละ 88.2 ตามการฟื้นตัวของภาวะเศรษฐกิจและการชะลอตัวของการก่อหนี้ของครัวเรือนซึ่งเกิดจากความกังวลเกี่ยวกับปัญหาค่าครองชีพที่ปรับตัวสูงขึ้น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ด้านคุณภาพสินเชื่อในภาพรวม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ปรับตัว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ดีขึ้น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ต่อเนื่องจากมาตรการส่งเสริมการปรับโครงสร้างหนี้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และการบริหารคุณภาพสินเชื่ออย่างต่อเนื่องของสถาบันการเงิน โดยสัดส่วนสินเชื่ออุปโภคบริโภคที่ไม่ก่อให้เกิดรายได้ต่อสินเชื่อรวมอยู่ที่ร้อยละ 2.62 อย่างไรก็ตาม มีความจำเป็นต้อง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เฝ้าระวังคุณภาพสินเชื่อยานยนต์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อย่างใกล้ชิดเนื่องจากมีสัดส่วนสินเชื่อค้างชำระน้อยกว่า 3 เดือนต่อสินเชื่อรวมเพิ่มขึ้นต่อเนื่อง นอกจากนี้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หนี้เสียขยายตัวในระดับสูง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โดยเฉพาะกลุ่มลูกหนี้สูงอายุเนื่องจากผลกระทบของการแพร่ระบาดของโรคติดเชื้อไวรัสโคโรนา 2019 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(โควิด-19) ทั้งนี้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ปัจจัยที่จะส่งผลกระทบต่อหนี้ครัวเรือน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เช่น ภาระค่าครองชีพปรับตัวสูงขึ้น อุทกภัย และอัตรา</w:t>
      </w:r>
      <w:r w:rsidRPr="00882822">
        <w:rPr>
          <w:rFonts w:ascii="TH SarabunPSK" w:eastAsia="Calibri" w:hAnsi="TH SarabunPSK" w:cs="TH SarabunPSK"/>
          <w:spacing w:val="-4"/>
          <w:sz w:val="32"/>
          <w:szCs w:val="32"/>
          <w:cs/>
        </w:rPr>
        <w:t>ดอกเบี้ยที่มีแนวโน้มเพิ่มขึ้น ส่งผลให้มี</w:t>
      </w:r>
      <w:r w:rsidRPr="00882822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 xml:space="preserve">ประเด็นที่ต้องติดตามและให้ความสำคัญ </w:t>
      </w:r>
      <w:r w:rsidRPr="00882822">
        <w:rPr>
          <w:rFonts w:ascii="TH SarabunPSK" w:eastAsia="Calibri" w:hAnsi="TH SarabunPSK" w:cs="TH SarabunPSK"/>
          <w:spacing w:val="-4"/>
          <w:sz w:val="32"/>
          <w:szCs w:val="32"/>
          <w:cs/>
        </w:rPr>
        <w:t>เช่น การเร่งรัดการปรับโครงสร้างหนี้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โดยเฉพาะกลุ่มสินเชื่อยานยนต์และกลุ่มลูกหนี้ที่มีปัญหาหนี้เสียจากผลกระทบโควิด-19 การมีมาตรการสินเชื่อเพื่อช่วยเหลือครัวเรือนให้มีสภาพคล่องมากขึ้น และการมีมาตรการกระตุ้นเศรษฐกิจเพื่อเพิ่มโอกาสในการสร้างรายได้ให้กับประชาชน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1.3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การเจ็บป่วยด้วยโรคเฝ้าระวัง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โดยมีจำนวน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ผู้ป่วยโดยรวมเพิ่มขึ้น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ร้อยละ275.4 หรือเพิ่มขึ้นเป็น 195,976 ราย (จากเดิม 52,200 ราย) โดยส่วนใหญ่เป็นผู้ป่วยโรคมือ เท้า ปาก และโรคไข้หวัดใหญ่ 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="00882822">
        <w:rPr>
          <w:rFonts w:ascii="TH SarabunPSK" w:eastAsia="Calibri" w:hAnsi="TH SarabunPSK" w:cs="TH SarabunPSK"/>
          <w:sz w:val="32"/>
          <w:szCs w:val="32"/>
          <w:cs/>
        </w:rPr>
        <w:t xml:space="preserve">ซึ่งเป็นผลจาก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น้ำท่วมขังในหลายพื้นที่ นอกจากนี้ควร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ให้ความสำคัญกับระบบรักษาผู้ป่วยด้านสุขภาพจิต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โดยเฉพาะผู้ที่มีความเครียด ผู้ป่วยซึมเศร้าและผู้ป่วยยาเสพติด ซึ่งมีแนวโน้มเข้ารับการรักษาเพิ่มขึ้น โดยในระยะสั้นควรเร่งขยายผลการบูรณาการร่วมกับกลไกในชุมชนและในระยะยาวจะต้องหาแนวทางการเพิ่มจำนวนจิตแพทย์หรือเพิ่มบทบาทของบุคลากรด้านสุขภาพจิตเพื่อรักษาหรือยกระดับคุณภาพบริการ รวมถึงยังต้องเฝ้าระวังโควิด-19 สายพันธุ์ใหม่ที่ระบาดในต่างประเทศในช่วงที่ไทยมีการผ่อนคลายมาตรการควบคุมโควิด-19 ทั้งนี้ ประชาชนควรรักษา</w:t>
      </w:r>
      <w:r w:rsidRPr="00882822">
        <w:rPr>
          <w:rFonts w:ascii="TH SarabunPSK" w:eastAsia="Calibri" w:hAnsi="TH SarabunPSK" w:cs="TH SarabunPSK"/>
          <w:spacing w:val="-2"/>
          <w:sz w:val="32"/>
          <w:szCs w:val="32"/>
          <w:cs/>
        </w:rPr>
        <w:t>ระดับการป้องกันโรคส่วนบุคคลและเข้ารับวัคซีนอย่างต่อเนื่องเพื่อป้องกันการติดเชื้อและการแพร่ระบาดของโควิด-19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1.4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การบริโภคเครื่องดื่มแอลกอฮอล์และบุหรี่เพิ่มขึ้น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ร้อยละ 1.7 โดยการบริโภคเครื่องดื่มแอลกอฮอล์เพิ่มขึ้นร้อยละ 3.9 ขณะที่การบริโภคบุหรี่ลดลงร้อยละ 1.2 อย่างไรก็ตามยังคงต้องให้ความสำคัญกับการรณรงค์ ประชาสัมพันธ์ให้ความรู้ที่ถูกต้อง และสร้างการตระหนักถึงโทษของบุหรี่ไฟฟ้าแก่เด็กและเยาวชนอย่างต่อเนื่อง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โดยบูรณาการความร่วมมือกับสถานศึกษารวมถึงจะต้องเร่งดำเนินการทางกฎหมายแก่ผู้ขายบุหรี่ไฟฟ้าอย่างจริงจังและเข้มงวดเพื่อป้องกันการเข้าถึงและทดลองสูบของเยาวชน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1.5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คดีอาญา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มีการรับแจ้งคดีอาญา จำนวน 105,407 คดี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ลดลง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ร้อยละ 15.7 จากไตรมาสเดียวกันของปี 2564 โดยส่วนใหญ่เป็นคดียาเสพติด จำนวน 88,850 คดี ซึ่งมีปัจจัยจากพัฒนาการของเทคโนโลยีการผลิตที่สามารถผลิตได้เพิ่มขึ้น 10 เท่า รวมถึงสารตั้งต้นและเคมีภัณฑ์มีราคาถูกและรูปแบบการค้ายาเสพติดมีช่องทางมากขึ้น ดังนั้น ควรให้ความสำคัญกับการบังคับใช้กฎหมายและการทำลายเครือข่ายการค้ายาเสพติดตามแนวชายแดน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1.6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การเกิดอุบัติเหตุทางบก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มีการรับแจ้งการเกิดอุบัติเหตุ จำนวน 18,458 ราย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ลดลง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ร้อยละ 2.6 จากไตรมาสเดียวกันของปี 2564 มีผู้เสียชีวิต 1,276 ราย ลดลงร้อยละ 3 และผู้บาดเจ็บรวม 9,389 ราย ลดลงร้อยละ 9.3 โดยสาเหตุของการเกิดอุบัติเหตุ คือ การขับรถตัดหน้ากระชั้นชิดและการขับรถเร็วเกินกว่าที่กฎหมายกำหนด ดังนั้น ควรให้ความสำคัญในการบังคับใช้ความเร็วของรถยนต์ตามที่กฎหมายกำหนด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1.7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การรับเรื่องร้องเรียนผ่านสำนักงานคณะกรรมการคุ้มครองผู้บริโภค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มีจำนวน 6,045 ราย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เพิ่มขึ้น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ร้อยละ 64.8 จากช่วงเวลาเดียวกันของปี 2564 ขณะที่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การร้องเรียนผ่านสำนักงานคณะกรรมการกิจการกระจายเสียง กิจการโทรทัศน์ และกิจการโทรคมนาคมแห่งชาติ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มีจำนวน 502 เรื่อง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ลดลง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ร้อยละ 22.9 โดยส่วนใหญ่เป็นเรื่องเกี่ยวกับโทรศัพท์เคลื่อนที่มากที่สุด สำหรับ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ประเด็นให้ความสำคัญ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เช่น การติดตามและเฝ้าระวังไม่ให้ประชาชนตกเป็นเหยื่อการหลอกให้เปิดบัญชีม้า</w:t>
      </w:r>
      <w:r w:rsidRPr="007F0A0C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*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ซึ่งมีเพิ่มขึ้นอย่างต่อเนื่องถึงร้อยละ 231.34 และปัญหาการเอาเปรียบผู้บริโภค เช่น การไม่แสดงราคาสินค้าและบริการและการคิดค่าบริการ (</w:t>
      </w:r>
      <w:r w:rsidRPr="007F0A0C">
        <w:rPr>
          <w:rFonts w:ascii="TH SarabunPSK" w:eastAsia="Calibri" w:hAnsi="TH SarabunPSK" w:cs="TH SarabunPSK"/>
          <w:sz w:val="32"/>
          <w:szCs w:val="32"/>
        </w:rPr>
        <w:t>Service charge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) ดังนั้น 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ควรตรวจสอบอย่างเข้มงวดและเพิ่มบทลงโทษแก่ผู้กระทำผิด และอาจต้องกำหนดประเภทร้านค้าที่สามารถเก็บค่าบริการดังกล่าวได้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สถานการณ์ทางสังคมที่สำคัญ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2.1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เมื่อโลกร้อนไม่ใช่เรื่องไกลตัว : เราจะรับมืออย่างไร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ในอดีตคนทั่วไปคิดว่าภัยพิบัติต่าง ๆ เป็นเพียงปรากฏการณ์ตามธรรมชาติ แต่จากการศึกษาวิจัยพบว่า ภัยพิบัติต่าง ๆ เป็นผลจากภาวะโลกร้อนซึ่งเกิดจากกิจกรรมของมนุษย์ที่ก่อให้เกิดก๊าซคาร์บอนไดออกไซด์ในชั้นบรรยากาศเพิ่มขึ้นและเกิดปราฏการณ์ก๊าซเรือนกระจก ส่งผลให้อุณหภูมิเฉลี่ยของโลกสูงขึ้นและทำให้ระดับน้ำทะเลสูงขึ้น จนก่อให้เกิดภัยพิบัติทางธรรมชาติ ทั้งนี้ คนทั่วโลกรวมถึงคนไทยส่วนใหญ่รับรู้ถึงผลกระทบของภาวะโลกร้อน แต่ส่วนใหญ่เห็นว่าเป็นหน้าที่ของภาครัฐและภาคธุรกิจที่ต้องรับผิดชอบแก้ไขปัญหา ซึ่งสะท้อนความตระหนักและความใส่ใจของคนไทยต่อการแก้ไขปัญหาที่ยังมีไม่มากนัก ทั้งนี้ มี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เรื่องที่ต้องเร่งดำเนินการและจัดการอย่างเร่งด่วน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เช่น การอนุรักษ์ป่าไม้เพื่อเป็นแหล่งกักเก็บคาร์บอน 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การปรับรูปแบบการทำเกษตรเพื่อลดการปล่อยก๊าซเรือนกระจกและการส่งเสริมการใช้พลังงานสะอาด อย่างไรก็ตาม การรับมือของไทยยังมี</w:t>
      </w:r>
      <w:r w:rsidR="00347106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ท้าทาย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เช่น การขาดทิศทางการวิจัยด้านการเกษตรเพื่อลดการปล่อยก๊าซเรือนกระจก การใช้พลังงานทดแทนมีสัดส่วนต่ำและลดลง และการขาดการปรับเปลี่ยนพฤติกรรมที่จะช่วยลดผลกระทบจากภาวะโลกร้อน ดังนั้น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ไทยต้องให้ความสำคัญในประเด็นต่าง ๆ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เช่น การปรับรูปแบบการทำเกษตรกรรมเพื่อลดการปล่อยก๊าซเรือนกระจก การเพิ่มสัดส่วนการใช้พลังงานสะอาดโดยเฉพาะในภาคการขนส่งและการสร้างความรู้ความเข้าใจเกี่ยวกับภาวะโลกร้อนที่ถูกต้องให้กับประชาชนโดยการสื่อสารที่มีประสิทธิภาพ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2.2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กองทุนเงินให้กู้ยืมเพื่อการศึกษา (กยศ.) : การส่งเสริมโอกาสทางการศึกษาของเด็กไทยให้ยั่งยืน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กยศ. มีวัตถุประสงค์เพื่อเพิ่มโอกาสการเข้าถึงการศึกษาให้กับนักเรียนและนักศึกษา โดยข้อมูล ณ วันที่ 30 กันยายน 2565 กยศ. ให้นักเรียนและนักศึกษากู้ยืมแล้ว ทั้งสิ้น 6.4 ล้านราย คิดเป็นเงินให้กู้ยืม 706,357 ล้านบาท อย่างไรก็ตาม มีผู้กู้ยืมที่ผิดนัดชำระหนี้คิดเป็นสัดส่วนสูงถึงร้อยละ 65 ซึ่ง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สาเหตุการผิดนัดชำระหนี้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แบ่งเป็น 4 กลุ่ม คือ (1)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ปัญหาจากลูกหนี้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ได้แก่ การขาดวินัยทางการเงินและการประสบปัญหาหรือวิกฤตต่าง ๆ (2)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ปัญหาจากกลไกการชำระหนี้ของ กยศ.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ที่กำหนดให้มีการชำระหนี้คืนรูปแบบเดียวเป็นขั้นบันไดและไม่สามารถปรับได้ 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="00D53E93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(3)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ปัญหาการดำเนินงานของ กยศ.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เช่น ระเบียบ/กฎเกณฑ์ที่ไม่เอื้อให้มีการดำเนินการปรับโครงสร้างหนี้กับกลุ่มลูกหนี้ที่มีคำพิพากษาแล้ว และ (4)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ปัญหาเชิงโครงสร้างของการศึกษา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เนื่องจากมีการเลือกเรียนสาขาวิชาที่ไม่ตรงกับความต้องการของตลาด ทำให้ยังไม่สามารถยกระดับรายได้ของตนเองภายหลังเรียนจบ จึงควรมี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แนวทางการแก้ไขปัญหา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เช่น การนำลูกหนี้ที่ผิดนัดชำระหนี้เข้าสู่กระบวนการปรับโครงสร้างหนี้ การปรับรูปแบบการชำระหนี้ให้สอดคล้องกับรายได้และการทำงานของลูกหนี้ และการเพิ่มความรู้ทางการเงินให้แก่ลูกหนี้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</w:rPr>
        <w:tab/>
      </w:r>
      <w:r w:rsidRPr="007F0A0C">
        <w:rPr>
          <w:rFonts w:ascii="TH SarabunPSK" w:eastAsia="Calibri" w:hAnsi="TH SarabunPSK" w:cs="TH SarabunPSK"/>
          <w:sz w:val="32"/>
          <w:szCs w:val="32"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7F0A0C">
        <w:rPr>
          <w:rFonts w:ascii="TH SarabunPSK" w:eastAsia="Calibri" w:hAnsi="TH SarabunPSK" w:cs="TH SarabunPSK"/>
          <w:sz w:val="32"/>
          <w:szCs w:val="32"/>
        </w:rPr>
        <w:t>2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เสรีกัญชา : มุมมองที่ควรเรียนรู้จากต่างประเทศ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เมื่อวันที่ 9 มิถุนายน 2565 ไทย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เป็น</w:t>
      </w:r>
      <w:r w:rsidRPr="00882822">
        <w:rPr>
          <w:rFonts w:ascii="TH SarabunPSK" w:eastAsia="Calibri" w:hAnsi="TH SarabunPSK" w:cs="TH SarabunPSK"/>
          <w:spacing w:val="-4"/>
          <w:sz w:val="32"/>
          <w:szCs w:val="32"/>
          <w:cs/>
        </w:rPr>
        <w:t>ประเทศแรกในภูมิภาคเอเชียที่สามารถใช้กัญชาและกัญชงได้อย่างถูกกฎหมาย ซึ่งปัจจุบันอุตสาหกรรมกัญชาและกัญชง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ตั</w:t>
      </w:r>
      <w:r w:rsidR="00AB685B">
        <w:rPr>
          <w:rFonts w:ascii="TH SarabunPSK" w:eastAsia="Calibri" w:hAnsi="TH SarabunPSK" w:cs="TH SarabunPSK"/>
          <w:sz w:val="32"/>
          <w:szCs w:val="32"/>
          <w:cs/>
        </w:rPr>
        <w:t>้งแต่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ต้นน้ำถึงปลายน้ำของไทยมีมูลค่ารวมกว่า 2.8 หมื่นล้านบาท อย่างไรก็ตาม การใช้กัญชาอย่างไม่เหมาะสมสามารถส่งผลกระทบเชิงลบต่อสุขภาพได้ จึงจำเป็นต้องมีกฎหมายในการควบคุมดูแลเพื่อป้องกันผลกระทบทางสังคมที่รัดกุมและรอบด้าน ทั้งนี้ เมื่อพิจารณาร่างพระราชบัญญัติกัญชา กัญชง พ.ศ. .... พบว่า ไทยต้อง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ให้ความสำคัญกับประเด็นต่าง ๆ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เช่น (1) การควบคุมการผลิตและการเพาะปลูก โดยต้องกำหนดปริมาณที่สามารถผลิตหรือเพาะปลูกในครัวเรือนให้มีความเหมาะสม (2) การควบคุมการซื้อขายและการครอบครอง ซึ่งควรกำหนดให้มีการลงทะเ</w:t>
      </w:r>
      <w:r w:rsidR="00347106"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บียนร้านค้าหรือร้านขายยา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ผู้จำหน่าย และผู้ใช้กัญชา และกำหนดปนิมาณกัญชาที่สามารถซื้อขายหรือถือครองได้ 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8A258F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860D85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="00A06E79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bookmarkStart w:id="0" w:name="_GoBack"/>
      <w:bookmarkEnd w:id="0"/>
      <w:r w:rsidRPr="007F0A0C">
        <w:rPr>
          <w:rFonts w:ascii="TH SarabunPSK" w:eastAsia="Calibri" w:hAnsi="TH SarabunPSK" w:cs="TH SarabunPSK"/>
          <w:sz w:val="32"/>
          <w:szCs w:val="32"/>
          <w:cs/>
        </w:rPr>
        <w:t>(3) การป้องกันการเข้าถึงของเด็กและการคุ้มครองผู้บริโภคกลุ่มอื่น ๆ และ (4) การบังคับใช้กฎหมายและการติดตามตรวจสอบ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บทความเรื่อง “มองคนจนหลายมิติ ปี 2564 ปัญหาที่ไม่ใช่แค่เรื่องเงินเท่านั้น”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นิยามของความยากจนไม่ได้มีเพียงเรื่องตัวเงินอย่างเดียวแต่ยังรวมถึงการขาดแคลน ขัดสน หรือขาดโอกาสในการเข้าถึง</w:t>
      </w:r>
      <w:r w:rsidRPr="00882822">
        <w:rPr>
          <w:rFonts w:ascii="TH SarabunPSK" w:eastAsia="Calibri" w:hAnsi="TH SarabunPSK" w:cs="TH SarabunPSK"/>
          <w:spacing w:val="-6"/>
          <w:sz w:val="32"/>
          <w:szCs w:val="32"/>
          <w:cs/>
        </w:rPr>
        <w:t>ทรัพยากรที่จำเป็นต่อการดำรงชีพที่อาจส่งผลต่อปัญหาความยากจนหลายด้าน เช่น ด้านการศึกษา สุขภาพ ความเป็นอยู่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และการไม่มีหลักประกันทางสังคมและไม่มีเงินออมที่เพียงพอ ทั้งนี้ เมื่อพิจารณาความยากจนหลายมิติในแต่ละมิติจะพบ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ประเด็นปัญหาที่สำคัญ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คือ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มิติด้านการศึกษา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พบว่ามีการออกนอกระบบการศึกษาเพิ่มขึ้นโดยเฉพาะกลุ่มเด็กที่ไม่ได้อาศัยอยู่กับพ่อแม่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มิติด้านการใช้ชีวิตในแบบที่ดีต่อสุขภาพ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พบว่าการเข้าถึงแหล่งน้ำสะอาดยังจำกัดอยู่ในบางพื้นที่ที่มีโครงสร้างพื้นฐานที่ดีและมีปัญหาทุพโภชนาการในครัวเรือนที่มีฐานะทางเศรษฐกิจไม่ดี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มิติด้านความเป็นอยู่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พบว่าคนจนหลายมิติกว่า 2.8 ล้านคน ไม่มีอินเทอร์เน็ตใช้เนื่องจากสัญญาณอินเทอร์เน็ตยังไม่ครอบคลุมและ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มีข้อจำกัดในด้านค่าใช้จ่าย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มิติด้านความมั่นคงทางการเงิน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พบการไม่มีหลักประกันของแรงงาน และการมีรายได้ไม่เพียงพอต่อค่าใช้จ่าย ซึ่งกระทบต่อการออมและอาจส่งผลให้มีหนี้สินเพิ่มขึ้น ดังนั้น จึงควรมี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แนวทางแก้ปัญหาความ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ยากจน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ดังนี้ (1) พัฒนาระบบข้อมูลระหว่างหน่วยงานในพื้นที่ให้มีการบูรณาการร่วมกันและครอบคลุมประชากรทุกคนเพื่อใช้เป็นเครื่องมือและการชี้ทิศทางในการพัฒนาคุณภาพชีวิตคนในชุมชน และ (2) จัดทำมาตรการในรูปแบบชุดของนโยบาย (</w:t>
      </w:r>
      <w:r w:rsidRPr="007F0A0C">
        <w:rPr>
          <w:rFonts w:ascii="TH SarabunPSK" w:eastAsia="Calibri" w:hAnsi="TH SarabunPSK" w:cs="TH SarabunPSK"/>
          <w:sz w:val="32"/>
          <w:szCs w:val="32"/>
        </w:rPr>
        <w:t>Policy package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) เพื่อให้สามารถแก้ปัญหาความยากจนโดยเฉพาะความยากจนหลายมิติที่มีปัญหาที่หลากหลายได้อย่างครอบคลุม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</w:rPr>
        <w:t>_____________________</w:t>
      </w:r>
    </w:p>
    <w:p w:rsidR="00E97642" w:rsidRPr="00882822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882822">
        <w:rPr>
          <w:rFonts w:ascii="TH SarabunPSK" w:eastAsia="Calibri" w:hAnsi="TH SarabunPSK" w:cs="TH SarabunPSK"/>
          <w:sz w:val="28"/>
          <w:vertAlign w:val="superscript"/>
          <w:cs/>
        </w:rPr>
        <w:t>*</w:t>
      </w:r>
      <w:r w:rsidRPr="00882822">
        <w:rPr>
          <w:rFonts w:ascii="TH SarabunPSK" w:eastAsia="Calibri" w:hAnsi="TH SarabunPSK" w:cs="TH SarabunPSK"/>
          <w:sz w:val="28"/>
          <w:cs/>
        </w:rPr>
        <w:t xml:space="preserve"> บัญชีม้า หมายถึง บัญชีฝากธนาคารของบุคคลอื่นซึ่งถูกมิจฉาชีพผู้กระทำผิดนำมาใช้เป็นช่องทางในการรับเงินและถ่ายโอนเงินที่ได้มาจากการกระทำความผิด เพื่อป้องกันไม่ให้มีพยานหลักฐานเชื่อมโยงมาถึงตัว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97642" w:rsidRPr="007F0A0C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10. </w:t>
      </w:r>
      <w:r w:rsidR="00E97642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รายงานผลการปฏิบัติงานของคณะกรรมการธรรมาภิบาลจังหวัด ประจำปีงบประมาณ พ.ศ. 2565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คณะรัฐมนตรีรับทราบตามที่สำนักงานปลัดสำนักนายกรัฐมนตรี (สปน.) เสนอรายงานผลการปฏิบัติงานของคณะกรรมการธรรมาภิบาลจังหวัด (ก.ธ.จ.) ประจำปีงบประมาณ พ.ศ. 2565 (เป็นการดำเนินการตามระเบียบสำนักนายกรัฐมนตรี ว่าด้วยคณะกรรมการธรรมาภิบาลจังหวัด พ.ศ. 2552 ข้อ 31 ที่กำหนดให้ปลัดสำนักนายกรัฐมนตรีจัดทำรายงานผลการปฏิบัติงานประจำปีของ ก.ธ.จ. ในภาพรวมเสนอต่อคณะรัฐมนตรี ภายในเดือนธันวาคมของทุกปีแล้วเผยแพร่ต่อสาธารณะ) โดยในปีงบประมาณ พ.ศ. 2565 มีผลการปฏิบัติงานของ ก.ธ.จ. 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สรุปสาระสำคัญได้ ดังนี้ 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1. ผลการดำเนินการของ ก.ธ.จ.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1.1 ก.ธ.จ. ทั้ง 76 คณะ/จังหวัด</w:t>
      </w:r>
      <w:r w:rsidRPr="007F0A0C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 xml:space="preserve">*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ได้มีการประชุมเพื่อติดตามสอดส่องการปฏิบัติงานของหน่วยงานของรัฐและเจ้าหน้าที่ของรัฐในจังหวัดให้เป็นไปตามหลักการบริหารกิจการบ้านเมืองที่ดี จำนวน 253 ครั้ง โดยมีผลการสอดส่องและข้อเสนอแนะของ ก.ธ.จ. สรุปได้ ดังนี้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172"/>
        <w:gridCol w:w="1778"/>
        <w:gridCol w:w="2298"/>
        <w:gridCol w:w="1668"/>
        <w:gridCol w:w="1678"/>
      </w:tblGrid>
      <w:tr w:rsidR="00E97642" w:rsidRPr="007F0A0C" w:rsidTr="002F77E3">
        <w:tc>
          <w:tcPr>
            <w:tcW w:w="2263" w:type="dxa"/>
            <w:vAlign w:val="center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การสอดส่อง</w:t>
            </w:r>
          </w:p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ของ ก.ธ.จ.</w:t>
            </w:r>
          </w:p>
        </w:tc>
        <w:tc>
          <w:tcPr>
            <w:tcW w:w="1843" w:type="dxa"/>
            <w:vAlign w:val="center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จำนวนแผนงาน/โครงการ/เรื่อง</w:t>
            </w:r>
          </w:p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ที่ ก.ธ.จ. สอดส่อง (เรื่อง)</w:t>
            </w:r>
          </w:p>
        </w:tc>
        <w:tc>
          <w:tcPr>
            <w:tcW w:w="2410" w:type="dxa"/>
            <w:vAlign w:val="center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จำนวนแผนงาน/โครงการ/เรื่อง</w:t>
            </w:r>
          </w:p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ที่ไม่เป็นไปตาม</w:t>
            </w:r>
          </w:p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หลักการบริหาร</w:t>
            </w:r>
          </w:p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กิจการบ้านเมืองที่ดี (เรื่อง)</w:t>
            </w:r>
          </w:p>
        </w:tc>
        <w:tc>
          <w:tcPr>
            <w:tcW w:w="1701" w:type="dxa"/>
            <w:vAlign w:val="center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จำนวน</w:t>
            </w:r>
          </w:p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 xml:space="preserve">ข้อเสนอแนะของ </w:t>
            </w:r>
          </w:p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ก.ธ.จ.</w:t>
            </w:r>
          </w:p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(ข้อ)</w:t>
            </w:r>
          </w:p>
        </w:tc>
        <w:tc>
          <w:tcPr>
            <w:tcW w:w="1711" w:type="dxa"/>
            <w:vAlign w:val="center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จำนวน</w:t>
            </w:r>
          </w:p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ข้อเสนอแนะ</w:t>
            </w:r>
          </w:p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ที่จังหวัดรับไปดำเนินการแล้ว</w:t>
            </w:r>
          </w:p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(ข้อ)</w:t>
            </w:r>
          </w:p>
        </w:tc>
      </w:tr>
      <w:tr w:rsidR="00E97642" w:rsidRPr="007F0A0C" w:rsidTr="002F77E3">
        <w:tc>
          <w:tcPr>
            <w:tcW w:w="2263" w:type="dxa"/>
          </w:tcPr>
          <w:p w:rsidR="00E97642" w:rsidRPr="007F0A0C" w:rsidRDefault="00E97642" w:rsidP="007F0A0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cs/>
              </w:rPr>
              <w:t xml:space="preserve">(1) </w:t>
            </w:r>
            <w:r w:rsidRPr="007F0A0C">
              <w:rPr>
                <w:rFonts w:eastAsia="Calibri"/>
                <w:b/>
                <w:bCs/>
                <w:cs/>
              </w:rPr>
              <w:t>แผนงาน/โครงการตามแผนปฏิบัติราชการประจำปีของจังหวัดและกลุ่มจังหวัด</w:t>
            </w:r>
          </w:p>
        </w:tc>
        <w:tc>
          <w:tcPr>
            <w:tcW w:w="1843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962</w:t>
            </w:r>
          </w:p>
        </w:tc>
        <w:tc>
          <w:tcPr>
            <w:tcW w:w="2410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298</w:t>
            </w:r>
          </w:p>
        </w:tc>
        <w:tc>
          <w:tcPr>
            <w:tcW w:w="1701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445</w:t>
            </w:r>
          </w:p>
        </w:tc>
        <w:tc>
          <w:tcPr>
            <w:tcW w:w="1711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145</w:t>
            </w:r>
          </w:p>
        </w:tc>
      </w:tr>
      <w:tr w:rsidR="00E97642" w:rsidRPr="007F0A0C" w:rsidTr="002F77E3">
        <w:tc>
          <w:tcPr>
            <w:tcW w:w="2263" w:type="dxa"/>
          </w:tcPr>
          <w:p w:rsidR="00E97642" w:rsidRPr="007F0A0C" w:rsidRDefault="00E97642" w:rsidP="007F0A0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cs/>
              </w:rPr>
              <w:t xml:space="preserve">(2) </w:t>
            </w:r>
            <w:r w:rsidRPr="007F0A0C">
              <w:rPr>
                <w:rFonts w:eastAsia="Calibri"/>
                <w:b/>
                <w:bCs/>
                <w:cs/>
              </w:rPr>
              <w:t>แผนงาน/โครงการของส่วนราชการในจังหวัด</w:t>
            </w:r>
          </w:p>
        </w:tc>
        <w:tc>
          <w:tcPr>
            <w:tcW w:w="1843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101</w:t>
            </w:r>
          </w:p>
        </w:tc>
        <w:tc>
          <w:tcPr>
            <w:tcW w:w="2410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39</w:t>
            </w:r>
          </w:p>
        </w:tc>
        <w:tc>
          <w:tcPr>
            <w:tcW w:w="1701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65</w:t>
            </w:r>
          </w:p>
        </w:tc>
        <w:tc>
          <w:tcPr>
            <w:tcW w:w="1711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29</w:t>
            </w:r>
          </w:p>
        </w:tc>
      </w:tr>
      <w:tr w:rsidR="00E97642" w:rsidRPr="007F0A0C" w:rsidTr="002F77E3">
        <w:tc>
          <w:tcPr>
            <w:tcW w:w="2263" w:type="dxa"/>
          </w:tcPr>
          <w:p w:rsidR="00E97642" w:rsidRPr="007F0A0C" w:rsidRDefault="00E97642" w:rsidP="007F0A0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cs/>
              </w:rPr>
              <w:t xml:space="preserve">(3) </w:t>
            </w:r>
            <w:r w:rsidRPr="007F0A0C">
              <w:rPr>
                <w:rFonts w:eastAsia="Calibri"/>
                <w:b/>
                <w:bCs/>
                <w:cs/>
              </w:rPr>
              <w:t>แผนงาน/โครงการของหน่วยงานของรัฐอื่น ๆ</w:t>
            </w:r>
          </w:p>
        </w:tc>
        <w:tc>
          <w:tcPr>
            <w:tcW w:w="1843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1,193</w:t>
            </w:r>
          </w:p>
        </w:tc>
        <w:tc>
          <w:tcPr>
            <w:tcW w:w="2410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246</w:t>
            </w:r>
          </w:p>
        </w:tc>
        <w:tc>
          <w:tcPr>
            <w:tcW w:w="1701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346</w:t>
            </w:r>
          </w:p>
        </w:tc>
        <w:tc>
          <w:tcPr>
            <w:tcW w:w="1711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186</w:t>
            </w:r>
          </w:p>
        </w:tc>
      </w:tr>
      <w:tr w:rsidR="00E97642" w:rsidRPr="007F0A0C" w:rsidTr="002F77E3">
        <w:tc>
          <w:tcPr>
            <w:tcW w:w="2263" w:type="dxa"/>
          </w:tcPr>
          <w:p w:rsidR="00E97642" w:rsidRPr="007F0A0C" w:rsidRDefault="00E97642" w:rsidP="007F0A0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cs/>
              </w:rPr>
              <w:t xml:space="preserve">(4) </w:t>
            </w:r>
            <w:r w:rsidRPr="007F0A0C">
              <w:rPr>
                <w:rFonts w:eastAsia="Calibri"/>
                <w:b/>
                <w:bCs/>
                <w:cs/>
              </w:rPr>
              <w:t>เรื่องร้องเรียน</w:t>
            </w:r>
          </w:p>
        </w:tc>
        <w:tc>
          <w:tcPr>
            <w:tcW w:w="1843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64</w:t>
            </w:r>
          </w:p>
        </w:tc>
        <w:tc>
          <w:tcPr>
            <w:tcW w:w="2410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48</w:t>
            </w:r>
          </w:p>
        </w:tc>
        <w:tc>
          <w:tcPr>
            <w:tcW w:w="1701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64</w:t>
            </w:r>
          </w:p>
        </w:tc>
        <w:tc>
          <w:tcPr>
            <w:tcW w:w="1711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51</w:t>
            </w:r>
          </w:p>
        </w:tc>
      </w:tr>
      <w:tr w:rsidR="00E97642" w:rsidRPr="007F0A0C" w:rsidTr="002F77E3">
        <w:tc>
          <w:tcPr>
            <w:tcW w:w="2263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รวม</w:t>
            </w:r>
          </w:p>
        </w:tc>
        <w:tc>
          <w:tcPr>
            <w:tcW w:w="1843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2,320</w:t>
            </w:r>
          </w:p>
        </w:tc>
        <w:tc>
          <w:tcPr>
            <w:tcW w:w="2410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631</w:t>
            </w:r>
          </w:p>
        </w:tc>
        <w:tc>
          <w:tcPr>
            <w:tcW w:w="1701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920</w:t>
            </w:r>
          </w:p>
        </w:tc>
        <w:tc>
          <w:tcPr>
            <w:tcW w:w="1711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411</w:t>
            </w:r>
          </w:p>
        </w:tc>
      </w:tr>
    </w:tbl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ทั้งนี้ จำนวนเรื่องที่ ก.ธ.จ. สอดส่อง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มีจำนวนทั้งสิ้น 2,320 เรื่อง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โดย ก.ธ.จ. มีมติเป็นข้อเสนอแนะ จำนวน 920 ข้อ และจังหวัด/หน่วยงานที่เกี่ยวข้องรับข้อเสนอแนะไปดำเนินการแล้ว จำนวน 411 ข้อ คิดเป็นร้อยละ 44.67 ซึ่ง ก.ธ.จ.    จะได้ติดตามผลการดำเนินงานตามข้อเสนอแนะในส่วนที่เหลือต่อไป และในส่วนแผนงาน/โครงการ/เรื่องที่ไม่เป็นไปตามหลักการบริหารกิจการบ้านเมืองที่ดีนั้น โครงการส่วนใหญ่มีปัญหา เช่น ล่าช้ากว่าแผนงาน และไม่ตรงกับความต้องการของประชาชน จึงไม่เป็นไปตามหลักการบริหารกิจการบ้านเมืองที่ดี ตามระเบียบสำนักนายกรัฐมนตรีว่าด้วยคณะกรรมการธรรมาภิบาลจังหวัด พ.ศ. 2552 เช่น ข้อ 23 (2) ที่กำหนดให้ ก.ธ.จ. ปฏิบัติภารกิจเพื่ออำนวยความสะดวก ให้บริการ และสนองความต้องการของประชาชน และข้อ 23 (4) ที่กำหนดให้ ก.ธ.จ. ปฏิบัติภารกิจให้เกิดผล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lastRenderedPageBreak/>
        <w:t>สัม</w:t>
      </w:r>
      <w:r w:rsidR="00D53E93">
        <w:rPr>
          <w:rFonts w:ascii="TH SarabunPSK" w:eastAsia="Calibri" w:hAnsi="TH SarabunPSK" w:cs="TH SarabunPSK"/>
          <w:sz w:val="32"/>
          <w:szCs w:val="32"/>
          <w:cs/>
        </w:rPr>
        <w:t>ฤทธิ์มี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ประสิทธิภาพ และมีความคุ้มค่า ทั้งนี้ ก.ธ.จ. ได้มีข้อเสนอแนะต่อปัญหาดังกล่าว เช่น ให้จัดลำดับความสำคัญของการดำเนินกิจกรรมก่อน-หลังในโครงการให้เหมาะสมและสอดคล้องกับช่วงเวลา สถานการณ์ 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และสภาพพื้นที่ เพื่อให้การดำเนินโครงการต่าง ๆ เป็นไปตามแผนที่กำหนด และควรมีหน่วยงานที่เป็นเจ้าภาพหลักเข้ามาบริหารจัดการพื้นที่ให้เป็นระบบและเกิดประโยชน์สูงสุด รวมทั้งควรมีการรับฟังความคิดเห็นของทุกภาคส่วนทั้งภาคเอกชน องค์กรปกครองส่วนท้องถิ่น และประชาชนด้วย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1.2 เรื่องที่ส่งผลกระทบต่อประชาชนมากที่สุด คือ ด้านสาธารณูปโภค จำนวน 1,577 เรื่อง 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คิดเป็นร้อยละ 67.97 (เช่น โครงการติดตั้งไฟฟ้าแสงสว่างจังหวัดชัยนาท จำนวน 5 งาน พบว่า ยังไม่มีการจัดทำอัตลักษณ์หรือสัญลักษณ์บนเสาไฟฟ้า ทั้งนี้ ก.ธ.จ. ชัยนาทพิจารณาแล้วมีมติให้แขวงทางหลวงชัยนาทจัดทำอัตลักษณ์ สัญลักษณ์บนเสาไฟฟ้าทุกต้นเพื่อให้ประชาชนมีส่วนร่วมในการดูแลรักษา ซึ่งแขวงทางหลวงชัยนาทได้ดำเนินการแก้ไขให้ถูกต้องเรียบร้อยแล้ว) และรองลงมา คือ ด้านเศรษฐกิจ จำนวน 359 เรื่อง คิดเป็นร้อยละ 15.47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(เช่น โครงการพัฒนาศักยภาพการค้าและ  การลงทุน ตำบลศาลายา อำเภอพุทธมณฑล จังหวัดนครปฐม พบว่า 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มีปัญหาการใช้รถใช้ถนนอันเนื่องมาจากการจัดระบบจราจรของถนน เช่น ไม่มีการติดตั้งสัญญาณไฟจราจรในบางช่วงถนนที่เป็นทางแยกเข้าสถานที่ให้บริการประชาชน ซึ่งอาจทำให้เกิดอุบัติเหตุได้ และบางช่วงถนนมีสัญญาณไฟจราจรถี่เกินไปทำให้เกิดปัญหาการจราจรติดขัด ทั้งนี้ ก.ธ.จ. นครปฐม พิจารณาแล้วมีมติให้ปรับปรุงการจัดระบบการจราจรในบางช่วงถนนให้เหมาะสมกับสภาพพื้นที่ ปริมาณการจราจร และจุดเสี่ยงต่าง ๆ เพื่อแก้ไขปัญหาด้านการจราจร รวมทั้งเข้มงวดกวดขันไม่ให้ประชาชนลักลอบการแก้ไขสิ่งกีดกั้นบนถนนเพื่อจัดระบบการจราจรที่หน่วยงานจัดวางไว้ ซึ่งแขวงทางหลวงชนบทนครปฐมจะดำเนินการตรวจสอบปริมาณการจราจร บริเวณแยกดังกล่าว เพื่อพิจารณาความเหมาะสมในการเสนอของบประมาณสำหรับติดตั้งไฟสัญญาณจราจร ส่วนปัญหาการจราจรติดขัดสามารถแก้ไขได้โดยการปรับระยะเวลาสัญญาให้เหมาะสมกับปริมาณรถ) สรุปได้ ดังนี้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2. ปัญหาและอุปสรรคที่สำคัญและแนวทางการแก้ไขของ ก.ธ.จ.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เช่น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114"/>
        <w:gridCol w:w="5480"/>
      </w:tblGrid>
      <w:tr w:rsidR="00E97642" w:rsidRPr="007F0A0C" w:rsidTr="002F77E3">
        <w:tc>
          <w:tcPr>
            <w:tcW w:w="4248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ปัญหาอุปสรรค/ข้อคิดเห็น/ข้อเสนอแนะ</w:t>
            </w:r>
          </w:p>
        </w:tc>
        <w:tc>
          <w:tcPr>
            <w:tcW w:w="5680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แนวทางการแก้ไข</w:t>
            </w:r>
          </w:p>
        </w:tc>
      </w:tr>
      <w:tr w:rsidR="00E97642" w:rsidRPr="007F0A0C" w:rsidTr="002F77E3">
        <w:tc>
          <w:tcPr>
            <w:tcW w:w="9928" w:type="dxa"/>
            <w:gridSpan w:val="2"/>
          </w:tcPr>
          <w:p w:rsidR="00E97642" w:rsidRPr="007F0A0C" w:rsidRDefault="00E97642" w:rsidP="007F0A0C">
            <w:pPr>
              <w:spacing w:line="320" w:lineRule="exact"/>
              <w:jc w:val="thaiDistribute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2.1 </w:t>
            </w:r>
            <w:r w:rsidRPr="007F0A0C">
              <w:rPr>
                <w:rFonts w:eastAsia="Calibri"/>
                <w:b/>
                <w:bCs/>
                <w:cs/>
              </w:rPr>
              <w:t xml:space="preserve">การปฏิบัติหน้าที่ของ ก.ธ.จ. </w:t>
            </w:r>
            <w:r w:rsidRPr="007F0A0C">
              <w:rPr>
                <w:rFonts w:eastAsia="Calibri"/>
                <w:cs/>
              </w:rPr>
              <w:t>เช่น</w:t>
            </w:r>
          </w:p>
        </w:tc>
      </w:tr>
      <w:tr w:rsidR="00E97642" w:rsidRPr="007F0A0C" w:rsidTr="002F77E3">
        <w:tc>
          <w:tcPr>
            <w:tcW w:w="4248" w:type="dxa"/>
          </w:tcPr>
          <w:p w:rsidR="00E97642" w:rsidRPr="007F0A0C" w:rsidRDefault="00E97642" w:rsidP="007F0A0C">
            <w:pPr>
              <w:spacing w:line="320" w:lineRule="exact"/>
              <w:jc w:val="thaiDistribute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การเสนอเรื่องเข้าที่ประชุม ก.ธ.จ. กรณีการแก้ไขปัญหาความเดือดร้อนของประชาชนจากการปฏิบัติงานของหน่วยงานของรัฐและเจ้าหน้าที่ของรัฐในจังหวัด (เรื่องร้องเรียน) ควรจะมีการตรวจสอบข้อมูลให้ถูกต้องก่อนนำเสนอเข้าที่ประชุม ก.ธ.จ. และควรมีหลักเกณฑ์ในการพิจารณาเรื่องดังกล่าวก่อนจะมีมติเป็นข้อเสนอแนะหรือส่งเรื่องให้หน่วยงานที่เกี่ยวข้องดำเนินการต่อไป</w:t>
            </w:r>
          </w:p>
        </w:tc>
        <w:tc>
          <w:tcPr>
            <w:tcW w:w="5680" w:type="dxa"/>
          </w:tcPr>
          <w:p w:rsidR="00E97642" w:rsidRPr="007F0A0C" w:rsidRDefault="00E97642" w:rsidP="007F0A0C">
            <w:pPr>
              <w:spacing w:line="320" w:lineRule="exact"/>
              <w:jc w:val="thaiDistribute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สปน. ได้กำหนดมาตรฐานกลางในการปฏิบัติงานของ ก.ธ.จ. กรณีการแก้ไขปัญหาความเดือดร้อนของประชาชน </w:t>
            </w:r>
            <w:r w:rsidR="00882822">
              <w:rPr>
                <w:rFonts w:eastAsia="Calibri" w:hint="cs"/>
                <w:cs/>
              </w:rPr>
              <w:t xml:space="preserve">             </w:t>
            </w:r>
            <w:r w:rsidR="00882822">
              <w:rPr>
                <w:rFonts w:eastAsia="Calibri"/>
                <w:cs/>
              </w:rPr>
              <w:t xml:space="preserve">(เรื่องร้องเรียน) </w:t>
            </w:r>
            <w:r w:rsidRPr="007F0A0C">
              <w:rPr>
                <w:rFonts w:eastAsia="Calibri"/>
                <w:cs/>
              </w:rPr>
              <w:t xml:space="preserve">โดยการรับเรื่องร้องเรียนไว้พิจารณาดำเนินการ </w:t>
            </w:r>
            <w:r w:rsidR="00882822">
              <w:rPr>
                <w:rFonts w:eastAsia="Calibri" w:hint="cs"/>
                <w:cs/>
              </w:rPr>
              <w:t xml:space="preserve">   </w:t>
            </w:r>
            <w:r w:rsidRPr="007F0A0C">
              <w:rPr>
                <w:rFonts w:eastAsia="Calibri"/>
                <w:cs/>
              </w:rPr>
              <w:t xml:space="preserve">ควรเป็นเรื่องที่เข้าลักษณะหรือเป็นไปตามหลักเกณฑ์ เช่น </w:t>
            </w:r>
            <w:r w:rsidR="00882822">
              <w:rPr>
                <w:rFonts w:eastAsia="Calibri" w:hint="cs"/>
                <w:cs/>
              </w:rPr>
              <w:t xml:space="preserve">    </w:t>
            </w:r>
            <w:r w:rsidRPr="007F0A0C">
              <w:rPr>
                <w:rFonts w:eastAsia="Calibri"/>
                <w:cs/>
              </w:rPr>
              <w:t>เป็นเรื่องที่ได้จัดทำคำร้องเป็นลายลักษณ์อักษร หรือหนังสือร้องเรียนหรือมีการบันทึกปากคำข้อร้องเรียนไว้ และเป็นการร้องเรียนเกี่ยวกับการปฏิบัติภารกิจของหน่วยงานของรัฐและเจ้าหน้าที่ของรัฐที่ไม่เป็นไปตามหลักการบริหารกิจการบ้านเมืองที่ดี หรือกรณี</w:t>
            </w:r>
            <w:r w:rsidR="00347106" w:rsidRPr="007F0A0C">
              <w:rPr>
                <w:rFonts w:eastAsia="Calibri"/>
                <w:cs/>
              </w:rPr>
              <w:t xml:space="preserve">ทุจริตของเจ้าหน้าที่ ทั้งนี้ </w:t>
            </w:r>
            <w:r w:rsidRPr="007F0A0C">
              <w:rPr>
                <w:rFonts w:eastAsia="Calibri"/>
                <w:cs/>
              </w:rPr>
              <w:t>ในการพิจารณารับเรื่องร้องเรียนให้อยู่ในดุลยพินิจของที่ประชุม  ก.ธ.จ.  และหากพิจารณาแล้วเห็นว่าเรื่องร้องเรียนยังมีข้อมูลไม่ครบถ้วนสมบูรณ์จะดำเนินการประสานหาข้อเท็จจริงในพื้นที่เพิ่มเติมก่อนนำเข้าที่ประชุม ก.ธ.จ. ต่อไป</w:t>
            </w:r>
          </w:p>
        </w:tc>
      </w:tr>
      <w:tr w:rsidR="00E97642" w:rsidRPr="007F0A0C" w:rsidTr="002F77E3">
        <w:tc>
          <w:tcPr>
            <w:tcW w:w="9928" w:type="dxa"/>
            <w:gridSpan w:val="2"/>
          </w:tcPr>
          <w:p w:rsidR="00E97642" w:rsidRPr="007F0A0C" w:rsidRDefault="00E97642" w:rsidP="007F0A0C">
            <w:pPr>
              <w:spacing w:line="320" w:lineRule="exact"/>
              <w:jc w:val="thaiDistribute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2.2 </w:t>
            </w:r>
            <w:r w:rsidRPr="007F0A0C">
              <w:rPr>
                <w:rFonts w:eastAsia="Calibri"/>
                <w:b/>
                <w:bCs/>
                <w:cs/>
              </w:rPr>
              <w:t xml:space="preserve">การขอรับการสนับสนุนงบประมาณ </w:t>
            </w:r>
            <w:r w:rsidRPr="007F0A0C">
              <w:rPr>
                <w:rFonts w:eastAsia="Calibri"/>
                <w:cs/>
              </w:rPr>
              <w:t>เช่น</w:t>
            </w:r>
          </w:p>
        </w:tc>
      </w:tr>
      <w:tr w:rsidR="00E97642" w:rsidRPr="007F0A0C" w:rsidTr="002F77E3">
        <w:tc>
          <w:tcPr>
            <w:tcW w:w="4248" w:type="dxa"/>
          </w:tcPr>
          <w:p w:rsidR="00E97642" w:rsidRPr="007F0A0C" w:rsidRDefault="00E97642" w:rsidP="007F0A0C">
            <w:pPr>
              <w:spacing w:line="320" w:lineRule="exact"/>
              <w:jc w:val="thaiDistribute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ก.ธ.จ. ควรได้รับสิทธิและสวัสดิการต่าง ๆ เช่น การประกันชีวิต การรักษาพยาบาล เนื่องจากกรรมการ ก.ธ.จ. หลายท่านไม่มีสวัสดิการในการรักษาพยาบาล หรือการประกันชีวิตซึ่งในการออกปฏิบัติหน้าที่สอดส่องในพื้นที่อาจประสบอุบัติเหตุหรือเกิดปัญหาสุขภาพ</w:t>
            </w:r>
          </w:p>
        </w:tc>
        <w:tc>
          <w:tcPr>
            <w:tcW w:w="5680" w:type="dxa"/>
          </w:tcPr>
          <w:p w:rsidR="00E97642" w:rsidRPr="007F0A0C" w:rsidRDefault="00E97642" w:rsidP="007F0A0C">
            <w:pPr>
              <w:spacing w:line="320" w:lineRule="exact"/>
              <w:jc w:val="thaiDistribute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สปน. แจ้งว่ากรณีสวัสดิการรักษาพยาบาลจะเป็นไปตามสิทธิของกรรมการแต่ละคนตามที่กฎหมายกำหนด เช่น สิทธิผู้รับเบี้ยหวัดบำนาญ สิทธิบัตรทอง สิทธิประกันสังคม หรือเป็นสวัสดิการของบริษัทที่ทำงานอยู่ ซึ่งกรรมการ ก.ธ.จ. เป็นบุคคลที่มาจากภาคประชาชนที่ไม่ใช่ข้าราชการ จึงไม่สามารถสนับสนุนงบประมาณเพื่อเป็นสวัสดิการในการเบิกค่ารักษาพยาบาลให้แก่กรรมการได้ ประกอบกับการจัดให้มีสวัสดิการดังกล่าวให้กับคณะกรรมการที่มีอยู่ทั่วประเทศ จำนวน 1,083 คน นั้น </w:t>
            </w:r>
            <w:r w:rsidR="00882822">
              <w:rPr>
                <w:rFonts w:eastAsia="Calibri" w:hint="cs"/>
                <w:cs/>
              </w:rPr>
              <w:t xml:space="preserve">         </w:t>
            </w:r>
            <w:r w:rsidRPr="007F0A0C">
              <w:rPr>
                <w:rFonts w:eastAsia="Calibri"/>
                <w:cs/>
              </w:rPr>
              <w:t xml:space="preserve">จะต้องใช้งบประมาณเป็นจำนวนมาก ซึ่งงบประมาณ ที่ สปน. </w:t>
            </w:r>
            <w:r w:rsidR="00882822">
              <w:rPr>
                <w:rFonts w:eastAsia="Calibri" w:hint="cs"/>
                <w:cs/>
              </w:rPr>
              <w:t xml:space="preserve">        </w:t>
            </w:r>
            <w:r w:rsidRPr="007F0A0C">
              <w:rPr>
                <w:rFonts w:eastAsia="Calibri"/>
                <w:cs/>
              </w:rPr>
              <w:lastRenderedPageBreak/>
              <w:t>ได้รับการจัดสรรเพื่อเป็นค่าใช้จ่ายในการปฏิบัติงานของ ก.ธ.จ. ในแต่ละปี มีไม่เพียงพอที่จะดำเนินการในเรื่องดังกล่าว</w:t>
            </w:r>
          </w:p>
        </w:tc>
      </w:tr>
      <w:tr w:rsidR="00E97642" w:rsidRPr="007F0A0C" w:rsidTr="002F77E3">
        <w:tc>
          <w:tcPr>
            <w:tcW w:w="9928" w:type="dxa"/>
            <w:gridSpan w:val="2"/>
          </w:tcPr>
          <w:p w:rsidR="00E97642" w:rsidRPr="007F0A0C" w:rsidRDefault="00E97642" w:rsidP="007F0A0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cs/>
              </w:rPr>
              <w:lastRenderedPageBreak/>
              <w:t xml:space="preserve">2.3 </w:t>
            </w:r>
            <w:r w:rsidRPr="007F0A0C">
              <w:rPr>
                <w:rFonts w:eastAsia="Calibri"/>
                <w:b/>
                <w:bCs/>
                <w:cs/>
              </w:rPr>
              <w:t>การจัดสัมมนา ฝึกอบรม และการประชาสัมพันธ์</w:t>
            </w:r>
          </w:p>
        </w:tc>
      </w:tr>
      <w:tr w:rsidR="00E97642" w:rsidRPr="007F0A0C" w:rsidTr="002F77E3">
        <w:tc>
          <w:tcPr>
            <w:tcW w:w="4248" w:type="dxa"/>
          </w:tcPr>
          <w:p w:rsidR="00E97642" w:rsidRPr="007F0A0C" w:rsidRDefault="00E97642" w:rsidP="007F0A0C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สปน. ได้จัดทำบันทึกข้อตกลงการปฏิบัติงานร่วมกันในการป้องกันและแก้ไขปัญหาการทุจริตประพฤติมิชอบในส่วนราชการและหน่วยงานของรัฐ (</w:t>
            </w:r>
            <w:r w:rsidRPr="007F0A0C">
              <w:rPr>
                <w:rFonts w:eastAsia="Calibri"/>
              </w:rPr>
              <w:t>MOU</w:t>
            </w:r>
            <w:r w:rsidRPr="007F0A0C">
              <w:rPr>
                <w:rFonts w:eastAsia="Calibri"/>
                <w:cs/>
              </w:rPr>
              <w:t>) ร่วมกับสำนักงานคณะกรรมการป้องกันและปราบปรามการทุจริตแห่งชาติ (สำนักงาน ป.ป.ช.) สำนักงานการตรวจเงินแผ่นดิน (สตง.) สำนักงานคณะกรรมการป้องกันและปราบปรามการทุจริตในภาครัฐ (สำนักงาน ป.ป.ท.) และกรมสอบสวนคดีพิเศษ (</w:t>
            </w:r>
            <w:r w:rsidRPr="007F0A0C">
              <w:rPr>
                <w:rFonts w:eastAsia="Calibri"/>
              </w:rPr>
              <w:t>DSI</w:t>
            </w:r>
            <w:r w:rsidRPr="007F0A0C">
              <w:rPr>
                <w:rFonts w:eastAsia="Calibri"/>
                <w:cs/>
              </w:rPr>
              <w:t>) ซึ่งปัจจุบัน บทบาทและอำนาจหน้าที่ของแต่ละหน่วยงานดังกล่าวเปลี่ยนแปลงไปจึงควรที่จะมีการจัดสัมมนาหรือจัดฝึกอบรมให้กับ ก.ธ.จ. เพื่อเป็นการเสริมสร้างความรู้ความเข้าใจในบทบาทอำนาจหน้าที่ของแต่ละหน่วยงานและรับทราบแนวทางปฏิบัติงานร่วมกัน ซึ่งจะส่งผลให้การปฏิบัติงานของ ก.ธ.จ. เป็นไปอย่างมีประสิทธิภาพ</w:t>
            </w:r>
          </w:p>
        </w:tc>
        <w:tc>
          <w:tcPr>
            <w:tcW w:w="5680" w:type="dxa"/>
          </w:tcPr>
          <w:p w:rsidR="00E97642" w:rsidRPr="007F0A0C" w:rsidRDefault="00E97642" w:rsidP="007F0A0C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 xml:space="preserve">สปน. ได้จัดทำโครงการอบรมเพื่อเสริมสร้างความรู้ความเข้าใจให้แก่ ก.ธ.จ. เกี่ยวกับแนวทางการปฏิบัติงานร่วมกับหน่วยงานที่ร่วมลงนามใน </w:t>
            </w:r>
            <w:r w:rsidRPr="007F0A0C">
              <w:rPr>
                <w:rFonts w:eastAsia="Calibri"/>
              </w:rPr>
              <w:t xml:space="preserve">MOU </w:t>
            </w:r>
            <w:r w:rsidRPr="007F0A0C">
              <w:rPr>
                <w:rFonts w:eastAsia="Calibri"/>
                <w:cs/>
              </w:rPr>
              <w:t xml:space="preserve">ผ่านสื่ออิเล็กทรอนิกส์ โดยมีการจัดการฝึกอบรม จำนวน 4 ครั้ง เพื่อให้ ก.ธ.จ. และส่วนที่เกี่ยวข้องได้รับทราบเกี่ยวกับแนวทางการปฏิบัติงานร่วมกันในการป้องกันและแก้ไขปัญหาการทุจริตประพฤติมิชอบในส่วนราชการและหน่วยงานของรัฐ จากหน่วยงานที่ร่วมลงนามใน </w:t>
            </w:r>
            <w:r w:rsidRPr="007F0A0C">
              <w:rPr>
                <w:rFonts w:eastAsia="Calibri"/>
              </w:rPr>
              <w:t>MOU</w:t>
            </w:r>
            <w:r w:rsidR="00882822">
              <w:rPr>
                <w:rFonts w:eastAsia="Calibri" w:hint="cs"/>
                <w:cs/>
              </w:rPr>
              <w:t xml:space="preserve">         </w:t>
            </w:r>
            <w:r w:rsidRPr="007F0A0C">
              <w:rPr>
                <w:rFonts w:eastAsia="Calibri"/>
                <w:cs/>
              </w:rPr>
              <w:t xml:space="preserve"> เพื่อประโยชน์ในการปฏิบัติงานร่วมกันได้อย่างมีประสิทธิภาพ และเพื่อประชาสัมพันธ์เกี่ยวกับบทบาท อำนาจหน้าที่ของ </w:t>
            </w:r>
            <w:r w:rsidR="008A258F">
              <w:rPr>
                <w:rFonts w:eastAsia="Calibri" w:hint="cs"/>
                <w:cs/>
              </w:rPr>
              <w:t xml:space="preserve">      </w:t>
            </w:r>
            <w:r w:rsidRPr="007F0A0C">
              <w:rPr>
                <w:rFonts w:eastAsia="Calibri"/>
                <w:cs/>
              </w:rPr>
              <w:t>ก.ธ.จ. กับหน่วยงานดังกล่าวให้แพร่หลายมากยิ่งขึ้น</w:t>
            </w:r>
          </w:p>
        </w:tc>
      </w:tr>
    </w:tbl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3. แนวทางการขับเคลื่อนการดำเนินงานของ ก.ธ.จ. ประจำปีงบประมาณ พ.ศ. 2566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เช่น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3.1 ให้ ก.ธ.จ. สอดส่องและเสนอแนะการปฏิบัติภารกิจของหน่วยงานของรัฐและเจ้าหน้าที่รัฐในจังหวัดโดยให้ใช้วิธีการบริหารกิจการบ้านเมืองที่ดี โดยสอดส่องแผนงาน/โครงการตามแผนปฏิบัติราชการประจำปีของจังหวัดและกลุ่มจังหวัด แผนงาน/โครงการของส่วนราชการในจังหวัด และการแก้ไขปัญหาความเดือดร้อนจากการปฏิบัติงานของหน่วยงานของรัฐและเจ้าหน้าที่ของรัฐในจังหวัด รวมทั้งสอดส่องแผนงาน/โครงการที่เป็นนโยบายสำคัญของรัฐบาลให้มากยิ่งขึ้น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3.2 ให้ ก.ธ.จ. มีส่วนร่วมตรวจสอบความถูกต้องในการดำเนินโครงการและการใช้จ่ายงบประมาณของรัฐในการกำกับและติดตามการปฏิบัติราชการในภูมิภาค กรณีที่รองนายกรัฐมนตรีหรือรัฐมนตรีประจำสำนักนายกรัฐมนตรีเห็นสมควรให้มีการตรวจสอบความถูกต้องในการดำเนินโครงการ และการใช้จ่ายงบประมาณของรัฐให้    ก.ธ.จ. มีส่วนร่วมในการแสวงหาข้อเท็จจริงหรือเอกสารหลักฐานต่าง ๆ แล้วนำเสนอที่ประชุม ก.ธ.จ. เพื่อมีมติให้เสนอรองนายกรัฐมนตรีหรือรัฐมนตรีประจำสำนักนายกรัฐมนตรีโดยเร็ว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3.3 ให้ ก.ธ.จ. มีส่วนร่วมในการป้องกันและแก้ไขปัญหาการทุจริตประพฤติมิชอบในส่วนราชการและหน่วยงานของรัฐ ซึ่งมีการปฏิบัติงานร่วมกันระหว่าง ก.ธ.จ. และหน่วยงาน 4 หน่วยงาน ที่ร่วมลงนามใน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MOU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ได้แก่ สำนักงาน ป.ป.ช. สตง. สำนักงาน ป.ป.ท. และ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DSI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โดยร่วมลงพื้นที่สอดส่องแผนงาน/โครงการ รวมทั้งการส่งเรื่องที่พบว่ากระทำการทุจริตประพฤติมิชอบหรือไม่โปร่งใสให้หน่วยงานข้างต้นดำเนินการตามอำนาจหน้าที่ต่อไป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3.4 การส่งเสริมและสนับสนุนให้ ก.ธ.จ. มีส่วนร่วมตามแผนแม่บทภายใต้ยุทธศาสตร์ชาติ ประเด็นการต่อต้านการทุจริตและประพฤติมิชอบ โดยขอให้ ก.ธ.จ. ได้เข้าร่วมดำเนินงานกิจกรรมตามแนวทางการปฏิบัติงานร่วมกันในการป้องกันและแก้ไขปัญหาการทุจริตของสำนักงาน ป.ป.ช. และ ก.ธ.จ. ที่ได้กำหนดแนวทางให้สอดรับกับอำนาจหน้าที่ของคณะกรรมการผลักดันการดำเนินงานตามแผนแม่บทภายใต้ยุทธศาสตร์ชาติ ประเด็นการต่อต้านการทุจริตและประพฤติมิชอบจังหวัด ซึ่งมีผู้แทนคณะกรรมการธรรมาภิบาลจังหวัด เป็นกรรมการอยู่ในทุกจังหวัดด้วย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</w:rPr>
        <w:t>_____________________</w:t>
      </w:r>
    </w:p>
    <w:p w:rsidR="00E97642" w:rsidRPr="000C1D27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0C1D27">
        <w:rPr>
          <w:rFonts w:ascii="TH SarabunPSK" w:eastAsia="Calibri" w:hAnsi="TH SarabunPSK" w:cs="TH SarabunPSK"/>
          <w:sz w:val="28"/>
          <w:vertAlign w:val="superscript"/>
          <w:cs/>
        </w:rPr>
        <w:t>*</w:t>
      </w:r>
      <w:r w:rsidRPr="000C1D27">
        <w:rPr>
          <w:rFonts w:ascii="TH SarabunPSK" w:eastAsia="Calibri" w:hAnsi="TH SarabunPSK" w:cs="TH SarabunPSK"/>
          <w:sz w:val="28"/>
          <w:cs/>
        </w:rPr>
        <w:t xml:space="preserve"> ก.ธ.จ. ประกอบด้วย ผู้ตรวจราชการสำนักนายกรัฐมนตรีเป็นประธาน ผู้แทนภาคประชาสังคม ผู้แทนสมาชิกสภาท้องถิ่น ผู้แทนภาคธุรกิจเอกชนในจังหวัดเป็นกรรมการ และข้าราชการ สปน. เป็นเลขานุการ โดยมีอำนาจหน้าที่ เช่น สอดส่องการปฏิบัติภารกิจของ</w:t>
      </w:r>
      <w:r w:rsidRPr="000C1D27">
        <w:rPr>
          <w:rFonts w:ascii="TH SarabunPSK" w:eastAsia="Calibri" w:hAnsi="TH SarabunPSK" w:cs="TH SarabunPSK"/>
          <w:sz w:val="28"/>
          <w:cs/>
        </w:rPr>
        <w:lastRenderedPageBreak/>
        <w:t>หน่วยงานของรัฐและเจ้าหน้าที่ของรัฐในจังหวัดให้ใช้วิธีการบริหารกิจการบ้านเมืองที่ดีรวมทั้งเสนอแนะแนวทางการปฏิบัติ</w:t>
      </w:r>
      <w:r w:rsidR="000C1D27">
        <w:rPr>
          <w:rFonts w:ascii="TH SarabunPSK" w:eastAsia="Calibri" w:hAnsi="TH SarabunPSK" w:cs="TH SarabunPSK" w:hint="cs"/>
          <w:sz w:val="28"/>
          <w:cs/>
        </w:rPr>
        <w:t xml:space="preserve">            </w:t>
      </w:r>
      <w:r w:rsidRPr="000C1D27">
        <w:rPr>
          <w:rFonts w:ascii="TH SarabunPSK" w:eastAsia="Calibri" w:hAnsi="TH SarabunPSK" w:cs="TH SarabunPSK"/>
          <w:sz w:val="28"/>
          <w:cs/>
        </w:rPr>
        <w:t>และการส่งเสริมตามหลักคุณธรรม จริยธรรมและธรรมาภิบาล แก่ผู้ว่าราชการจังหวัดและหน่วยงานของรัฐในจังหวัด</w:t>
      </w:r>
    </w:p>
    <w:p w:rsidR="00E97642" w:rsidRPr="007F0A0C" w:rsidRDefault="00E97642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F77E3" w:rsidRPr="007F0A0C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B685B"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77E3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หลักเกณฑ์ วิธีการ และเงื่อนไขการกำหนดค่าใช้จ่ายในการดำเนินการผู้ป่วยฉุกเฉินวิกฤต (ฉบับที่ 4) 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คณะรัฐมนตรีมีมติเห็นชอบหลักเกณฑ์ วิธีการ และเงื่อนไขการกำหนดค่าใช้จ่ายในการดำเนินการผู้ป่วยฉุกเฉินวิกฤต (ฉบับที่ 4) ตามที่กระทรวงสาธารณสุข (สธ.) เสนอ 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สธ. รายงานว่า 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>1. คณะอนุกรรมการพัฒนาการดำเนินการตามนโยบาย “เจ็บป่วย ฉุกเฉินวิกฤต มีสิทธิทุกที่” (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Universal Coverage for Emergency Patients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F0A0C">
        <w:rPr>
          <w:rFonts w:ascii="TH SarabunPSK" w:eastAsia="Calibri" w:hAnsi="TH SarabunPSK" w:cs="TH SarabunPSK"/>
          <w:sz w:val="32"/>
          <w:szCs w:val="32"/>
        </w:rPr>
        <w:t>UCEP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) ครั้งที่ 4/2565 เมื่อวันที่ 5 กันยายน 2565 มีมติเห็นชอบ (ร่าง) บัญชีและอัตราค่าใช้จ่ายที่แนบท้ายหลักเกณฑ์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UCEP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ซึ่งปรับปรุงแก้ไขการจัดทำรายการยา อัตราค่ายาในหมวดที่ 3 ค่ายาและสารอาหารทางเส้นเลือด และค่าธรรมเนียมแพทย์ ในหมวดที่ 12 ค่าบริการวิชาชีพ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การปรับปรุงแก้ไขบัญชีและอัตราค่าใช้จ่ายที่แนบท้ายหลักเกณฑ์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UCEP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ที่ สธ. เสนอในครั้งนี้มีรายละเอียดสรุปได้ (ให้ใช้บังคับตั้งแต่วันที่คณะรัฐมนตรีมีมติเป็นต้นไป) ดังนี้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2.1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การจัดทำรายการยา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(หมวดที่ 3 ค่ายาและสารอาหารทางเส้นเลือด)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การปรับรายการยาในบัญชีแนบท้ายหลักเกณฑ์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UCP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จำนวน 3,138 รายการ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จากเดิม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กำหนดตาม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ชื่อการค้า (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</w:rPr>
        <w:t>Trade name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ของยา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ทั้งหมด (3,138 รายการ)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ปรับเป็น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3198"/>
        <w:gridCol w:w="3032"/>
        <w:gridCol w:w="3364"/>
      </w:tblGrid>
      <w:tr w:rsidR="002F77E3" w:rsidRPr="007F0A0C" w:rsidTr="002F77E3">
        <w:tc>
          <w:tcPr>
            <w:tcW w:w="3199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ประเภทยา</w:t>
            </w:r>
          </w:p>
        </w:tc>
        <w:tc>
          <w:tcPr>
            <w:tcW w:w="3033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จำนวน</w:t>
            </w:r>
          </w:p>
        </w:tc>
        <w:tc>
          <w:tcPr>
            <w:tcW w:w="3365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การกำหนดชื่อยา</w:t>
            </w:r>
          </w:p>
        </w:tc>
      </w:tr>
      <w:tr w:rsidR="002F77E3" w:rsidRPr="007F0A0C" w:rsidTr="002F77E3">
        <w:tc>
          <w:tcPr>
            <w:tcW w:w="3199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  <w:cs/>
              </w:rPr>
            </w:pPr>
            <w:r w:rsidRPr="007F0A0C">
              <w:rPr>
                <w:rFonts w:eastAsia="Calibri"/>
                <w:b/>
                <w:bCs/>
                <w:cs/>
              </w:rPr>
              <w:t>ยาต้นแบบ (</w:t>
            </w:r>
            <w:r w:rsidRPr="007F0A0C">
              <w:rPr>
                <w:rFonts w:eastAsia="Calibri"/>
                <w:b/>
                <w:bCs/>
              </w:rPr>
              <w:t>Original drug</w:t>
            </w:r>
            <w:r w:rsidRPr="007F0A0C">
              <w:rPr>
                <w:rFonts w:eastAsia="Calibri"/>
                <w:b/>
                <w:bCs/>
                <w:cs/>
              </w:rPr>
              <w:t>)</w:t>
            </w:r>
          </w:p>
        </w:tc>
        <w:tc>
          <w:tcPr>
            <w:tcW w:w="3033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227 รายการ</w:t>
            </w:r>
          </w:p>
        </w:tc>
        <w:tc>
          <w:tcPr>
            <w:tcW w:w="3365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ใช้</w:t>
            </w:r>
            <w:r w:rsidRPr="007F0A0C">
              <w:rPr>
                <w:rFonts w:eastAsia="Calibri"/>
                <w:b/>
                <w:bCs/>
                <w:cs/>
              </w:rPr>
              <w:t xml:space="preserve">ระบุทั้ง 2 ชื่อ </w:t>
            </w:r>
            <w:r w:rsidRPr="007F0A0C">
              <w:rPr>
                <w:rFonts w:eastAsia="Calibri"/>
                <w:cs/>
              </w:rPr>
              <w:t>ได้แก่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(1) ชื่อสามัญทางยา (</w:t>
            </w:r>
            <w:r w:rsidRPr="007F0A0C">
              <w:rPr>
                <w:rFonts w:eastAsia="Calibri"/>
              </w:rPr>
              <w:t>Generic name</w:t>
            </w:r>
            <w:r w:rsidRPr="007F0A0C">
              <w:rPr>
                <w:rFonts w:eastAsia="Calibri"/>
                <w:cs/>
              </w:rPr>
              <w:t>)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(</w:t>
            </w:r>
            <w:r w:rsidRPr="007F0A0C">
              <w:rPr>
                <w:rFonts w:eastAsia="Calibri"/>
              </w:rPr>
              <w:t>2</w:t>
            </w:r>
            <w:r w:rsidRPr="007F0A0C">
              <w:rPr>
                <w:rFonts w:eastAsia="Calibri"/>
                <w:cs/>
              </w:rPr>
              <w:t>) ชื่อการค้า (</w:t>
            </w:r>
            <w:r w:rsidRPr="007F0A0C">
              <w:rPr>
                <w:rFonts w:eastAsia="Calibri"/>
              </w:rPr>
              <w:t>Trade name</w:t>
            </w:r>
            <w:r w:rsidRPr="007F0A0C">
              <w:rPr>
                <w:rFonts w:eastAsia="Calibri"/>
                <w:cs/>
              </w:rPr>
              <w:t>)</w:t>
            </w:r>
          </w:p>
        </w:tc>
      </w:tr>
      <w:tr w:rsidR="002F77E3" w:rsidRPr="007F0A0C" w:rsidTr="002F77E3">
        <w:tc>
          <w:tcPr>
            <w:tcW w:w="3199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ยาสามัญ</w:t>
            </w:r>
            <w:r w:rsidRPr="007F0A0C">
              <w:rPr>
                <w:rFonts w:eastAsia="Calibri"/>
                <w:b/>
                <w:bCs/>
                <w:vertAlign w:val="superscript"/>
                <w:cs/>
              </w:rPr>
              <w:t>1</w:t>
            </w:r>
            <w:r w:rsidRPr="007F0A0C">
              <w:rPr>
                <w:rFonts w:eastAsia="Calibri"/>
                <w:b/>
                <w:bCs/>
                <w:cs/>
              </w:rPr>
              <w:t xml:space="preserve"> (</w:t>
            </w:r>
            <w:r w:rsidRPr="007F0A0C">
              <w:rPr>
                <w:rFonts w:eastAsia="Calibri"/>
                <w:b/>
                <w:bCs/>
              </w:rPr>
              <w:t>Generic drug</w:t>
            </w:r>
            <w:r w:rsidRPr="007F0A0C">
              <w:rPr>
                <w:rFonts w:eastAsia="Calibri"/>
                <w:b/>
                <w:bCs/>
                <w:cs/>
              </w:rPr>
              <w:t>)</w:t>
            </w:r>
          </w:p>
        </w:tc>
        <w:tc>
          <w:tcPr>
            <w:tcW w:w="3033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1,060 รายการ</w:t>
            </w:r>
          </w:p>
        </w:tc>
        <w:tc>
          <w:tcPr>
            <w:tcW w:w="3365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cs/>
              </w:rPr>
            </w:pPr>
            <w:r w:rsidRPr="007F0A0C">
              <w:rPr>
                <w:rFonts w:eastAsia="Calibri"/>
                <w:b/>
                <w:bCs/>
                <w:cs/>
              </w:rPr>
              <w:t xml:space="preserve">ใช้เฉพาะชื่อสามัญทางยา </w:t>
            </w:r>
            <w:r w:rsidRPr="007F0A0C">
              <w:rPr>
                <w:rFonts w:eastAsia="Calibri"/>
                <w:cs/>
              </w:rPr>
              <w:t>(</w:t>
            </w:r>
            <w:r w:rsidRPr="007F0A0C">
              <w:rPr>
                <w:rFonts w:eastAsia="Calibri"/>
              </w:rPr>
              <w:t>Generic name</w:t>
            </w:r>
            <w:r w:rsidRPr="007F0A0C">
              <w:rPr>
                <w:rFonts w:eastAsia="Calibri"/>
                <w:cs/>
              </w:rPr>
              <w:t>)</w:t>
            </w:r>
          </w:p>
        </w:tc>
      </w:tr>
      <w:tr w:rsidR="002F77E3" w:rsidRPr="007F0A0C" w:rsidTr="002F77E3">
        <w:tc>
          <w:tcPr>
            <w:tcW w:w="3199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  <w:cs/>
              </w:rPr>
            </w:pPr>
            <w:r w:rsidRPr="007F0A0C">
              <w:rPr>
                <w:rFonts w:eastAsia="Calibri"/>
                <w:b/>
                <w:bCs/>
                <w:cs/>
              </w:rPr>
              <w:t>รวมทั้งสิ้น</w:t>
            </w:r>
          </w:p>
        </w:tc>
        <w:tc>
          <w:tcPr>
            <w:tcW w:w="3033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1,287 รายการ</w:t>
            </w:r>
          </w:p>
        </w:tc>
        <w:tc>
          <w:tcPr>
            <w:tcW w:w="3365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</w:p>
        </w:tc>
      </w:tr>
    </w:tbl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เพื่อลดปัญหาของการเบิกจ่าย เนื่องจากการใช้ชื่อทางการค้าจะทำให้ยาที่มีตัวยาสามัญชนิดเดียวกันแต่ต่างยี่ห้อหรือไม่อยู่ในบัญชีแนบท้ายของหลักเกณฑ์ </w:t>
      </w:r>
      <w:r w:rsidRPr="007F0A0C">
        <w:rPr>
          <w:rFonts w:ascii="TH SarabunPSK" w:eastAsia="Calibri" w:hAnsi="TH SarabunPSK" w:cs="TH SarabunPSK"/>
          <w:sz w:val="32"/>
          <w:szCs w:val="32"/>
        </w:rPr>
        <w:t>UCEP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จะไม่สามารถเบิกจ่ายได้ ทั้งนี้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ภายหลังจากการปรับชื่อรายการยา คงเหลือจำนวนทั้งสิ้น 1,287 รายการ ได้มีการปรับอัตราค่ายาดังกล่าวเพื่อให้สอดคล้องกับค่าใช้จ่ายในปัจจุบันด้วย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โดยคำนวณจากค่ามัธยฐานของราคาจัดซื้อยาของภาคเอกชน (ข้อมูลจากกรมการค้าภายใน) และราคาจัดซื้อยาของโรงพยาบาลภาครัฐ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2.2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การปรับค่าธรรมเนียมแพทย์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vertAlign w:val="superscript"/>
          <w:cs/>
        </w:rPr>
        <w:t>2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(หมวดที่ 12 ค่าบริการวิชาชีพ) 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>ค่าปรับค่าธรรมเนียมแพทย์ ในครั้งนี้เป็นการปรับอัตราค่าบริการทางการแพทย์ (ค่าตรวจวินิจฉัยและทำหัตถการโดยแพทย์) เพื่อให้เป็นไปตามคู่มือแนวทางการกำหนดค่าธรรมเนียมการแพทย์ พ.ศ. 2563 ของแพทยสภา ซึ่งปรับปรุงมาจากคู่มือแนวทางการกำหนดค่าธรรมเนียมการแพทย์ พ.ศ. 2549 โดย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ปรับเพิ่มขึ้นประมาณร้อยละ 30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vertAlign w:val="superscript"/>
          <w:cs/>
        </w:rPr>
        <w:t>3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>2.2.1 ภาพรวม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3198"/>
        <w:gridCol w:w="3198"/>
        <w:gridCol w:w="3198"/>
      </w:tblGrid>
      <w:tr w:rsidR="002F77E3" w:rsidRPr="007F0A0C" w:rsidTr="002F77E3">
        <w:tc>
          <w:tcPr>
            <w:tcW w:w="3199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ค่าธรรมเนียมเดิม</w:t>
            </w: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อัตราปี พ.ศ. 2549 (บาท)</w:t>
            </w:r>
          </w:p>
        </w:tc>
        <w:tc>
          <w:tcPr>
            <w:tcW w:w="3199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ค่าธรรมเนียมที่ปรับใหม่</w:t>
            </w: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อัตราปี พ.ศ. 2563 (บาท)</w:t>
            </w:r>
          </w:p>
        </w:tc>
        <w:tc>
          <w:tcPr>
            <w:tcW w:w="3199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เพิ่มขึ้น</w:t>
            </w: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(ร้อยละ)</w:t>
            </w:r>
          </w:p>
        </w:tc>
      </w:tr>
      <w:tr w:rsidR="002F77E3" w:rsidRPr="007F0A0C" w:rsidTr="002F77E3">
        <w:tc>
          <w:tcPr>
            <w:tcW w:w="3199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225,266,743.33</w:t>
            </w:r>
          </w:p>
        </w:tc>
        <w:tc>
          <w:tcPr>
            <w:tcW w:w="3199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294,677,120</w:t>
            </w:r>
          </w:p>
        </w:tc>
        <w:tc>
          <w:tcPr>
            <w:tcW w:w="3199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30.81</w:t>
            </w:r>
          </w:p>
        </w:tc>
      </w:tr>
    </w:tbl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>2.2.2 แยกเป็นรายการ เช่น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4954"/>
        <w:gridCol w:w="1842"/>
        <w:gridCol w:w="1706"/>
        <w:gridCol w:w="1092"/>
      </w:tblGrid>
      <w:tr w:rsidR="002F77E3" w:rsidRPr="007F0A0C" w:rsidTr="002F77E3">
        <w:tc>
          <w:tcPr>
            <w:tcW w:w="4957" w:type="dxa"/>
            <w:vAlign w:val="center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รายการ</w:t>
            </w:r>
          </w:p>
        </w:tc>
        <w:tc>
          <w:tcPr>
            <w:tcW w:w="1842" w:type="dxa"/>
            <w:vAlign w:val="center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ค่าธรรมเนียมเดิม</w:t>
            </w: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(บาท)</w:t>
            </w:r>
          </w:p>
        </w:tc>
        <w:tc>
          <w:tcPr>
            <w:tcW w:w="1706" w:type="dxa"/>
            <w:vAlign w:val="center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ค่าธรรมเนียมที่ปรับใหม่ (บาท)</w:t>
            </w:r>
          </w:p>
        </w:tc>
        <w:tc>
          <w:tcPr>
            <w:tcW w:w="1092" w:type="dxa"/>
            <w:vAlign w:val="center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เพิ่มขึ้น</w:t>
            </w: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(ร้อยละ)</w:t>
            </w:r>
          </w:p>
        </w:tc>
      </w:tr>
      <w:tr w:rsidR="002F77E3" w:rsidRPr="007F0A0C" w:rsidTr="002F77E3">
        <w:tc>
          <w:tcPr>
            <w:tcW w:w="4957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(1) </w:t>
            </w:r>
            <w:r w:rsidRPr="007F0A0C">
              <w:rPr>
                <w:rFonts w:eastAsia="Calibri"/>
              </w:rPr>
              <w:t>Suture of laceration or wound od scalp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การเย็บแผลฉีกขาดหรือบาดแผลของหนังศีรษะ</w:t>
            </w:r>
          </w:p>
        </w:tc>
        <w:tc>
          <w:tcPr>
            <w:tcW w:w="1842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6,000</w:t>
            </w:r>
          </w:p>
        </w:tc>
        <w:tc>
          <w:tcPr>
            <w:tcW w:w="1706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9,000</w:t>
            </w:r>
          </w:p>
        </w:tc>
        <w:tc>
          <w:tcPr>
            <w:tcW w:w="1092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33.34</w:t>
            </w:r>
          </w:p>
        </w:tc>
      </w:tr>
      <w:tr w:rsidR="002F77E3" w:rsidRPr="007F0A0C" w:rsidTr="002F77E3">
        <w:tc>
          <w:tcPr>
            <w:tcW w:w="4957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(2) </w:t>
            </w:r>
            <w:r w:rsidRPr="007F0A0C">
              <w:rPr>
                <w:rFonts w:eastAsia="Calibri"/>
              </w:rPr>
              <w:t xml:space="preserve">Repair of aneurysm of cerebral artery 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การซ่อมแซมหลอดเลือดแดงโป่งพองในสมอง</w:t>
            </w:r>
          </w:p>
        </w:tc>
        <w:tc>
          <w:tcPr>
            <w:tcW w:w="1842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60,000</w:t>
            </w:r>
          </w:p>
        </w:tc>
        <w:tc>
          <w:tcPr>
            <w:tcW w:w="1706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90,000</w:t>
            </w:r>
          </w:p>
        </w:tc>
        <w:tc>
          <w:tcPr>
            <w:tcW w:w="1092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33.34</w:t>
            </w:r>
          </w:p>
        </w:tc>
      </w:tr>
      <w:tr w:rsidR="002F77E3" w:rsidRPr="007F0A0C" w:rsidTr="002F77E3">
        <w:tc>
          <w:tcPr>
            <w:tcW w:w="4957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lastRenderedPageBreak/>
              <w:t xml:space="preserve">(3) </w:t>
            </w:r>
            <w:r w:rsidRPr="007F0A0C">
              <w:rPr>
                <w:rFonts w:eastAsia="Calibri"/>
              </w:rPr>
              <w:t xml:space="preserve">Endotracheal intubation 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การใส่ท่อช่วยหายใจ</w:t>
            </w:r>
          </w:p>
        </w:tc>
        <w:tc>
          <w:tcPr>
            <w:tcW w:w="1842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1,500</w:t>
            </w:r>
          </w:p>
        </w:tc>
        <w:tc>
          <w:tcPr>
            <w:tcW w:w="1706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2,250</w:t>
            </w:r>
          </w:p>
        </w:tc>
        <w:tc>
          <w:tcPr>
            <w:tcW w:w="1092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33.34</w:t>
            </w:r>
          </w:p>
        </w:tc>
      </w:tr>
      <w:tr w:rsidR="002F77E3" w:rsidRPr="007F0A0C" w:rsidTr="002F77E3">
        <w:tc>
          <w:tcPr>
            <w:tcW w:w="4957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(4) </w:t>
            </w:r>
            <w:r w:rsidRPr="007F0A0C">
              <w:rPr>
                <w:rFonts w:eastAsia="Calibri"/>
              </w:rPr>
              <w:t>Non</w:t>
            </w:r>
            <w:r w:rsidRPr="007F0A0C">
              <w:rPr>
                <w:rFonts w:eastAsia="Calibri"/>
                <w:cs/>
              </w:rPr>
              <w:t>-</w:t>
            </w:r>
            <w:r w:rsidRPr="007F0A0C">
              <w:rPr>
                <w:rFonts w:eastAsia="Calibri"/>
              </w:rPr>
              <w:t xml:space="preserve">operative removal of foreign body from esophagus 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การกำจัดสิ่งแปลกปลอมออกจากหลอดอาหารโดยไม่ต้องผ่าตัด</w:t>
            </w:r>
          </w:p>
        </w:tc>
        <w:tc>
          <w:tcPr>
            <w:tcW w:w="1842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5,000</w:t>
            </w:r>
          </w:p>
        </w:tc>
        <w:tc>
          <w:tcPr>
            <w:tcW w:w="1706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7,500</w:t>
            </w:r>
          </w:p>
        </w:tc>
        <w:tc>
          <w:tcPr>
            <w:tcW w:w="1092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33.34</w:t>
            </w:r>
          </w:p>
        </w:tc>
      </w:tr>
      <w:tr w:rsidR="002F77E3" w:rsidRPr="007F0A0C" w:rsidTr="002F77E3">
        <w:tc>
          <w:tcPr>
            <w:tcW w:w="4957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(5) </w:t>
            </w:r>
            <w:r w:rsidRPr="007F0A0C">
              <w:rPr>
                <w:rFonts w:eastAsia="Calibri"/>
              </w:rPr>
              <w:t>Ultrasonography of whole abdomen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อัลตราซาวนด์ของช่องท้องทั้งหมด</w:t>
            </w:r>
          </w:p>
        </w:tc>
        <w:tc>
          <w:tcPr>
            <w:tcW w:w="1842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800</w:t>
            </w:r>
          </w:p>
        </w:tc>
        <w:tc>
          <w:tcPr>
            <w:tcW w:w="1706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920</w:t>
            </w:r>
          </w:p>
        </w:tc>
        <w:tc>
          <w:tcPr>
            <w:tcW w:w="1092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13.04</w:t>
            </w:r>
          </w:p>
        </w:tc>
      </w:tr>
      <w:tr w:rsidR="002F77E3" w:rsidRPr="007F0A0C" w:rsidTr="002F77E3">
        <w:tc>
          <w:tcPr>
            <w:tcW w:w="4957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(6) </w:t>
            </w:r>
            <w:r w:rsidRPr="007F0A0C">
              <w:rPr>
                <w:rFonts w:eastAsia="Calibri"/>
              </w:rPr>
              <w:t>Repair of sympathetic nerve or ganglion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การซ่อมแซมเส้นประสาทซิมพาเทติกหรือปมประสาท</w:t>
            </w:r>
          </w:p>
        </w:tc>
        <w:tc>
          <w:tcPr>
            <w:tcW w:w="1842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22,000</w:t>
            </w:r>
          </w:p>
        </w:tc>
        <w:tc>
          <w:tcPr>
            <w:tcW w:w="1706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33,000</w:t>
            </w:r>
          </w:p>
        </w:tc>
        <w:tc>
          <w:tcPr>
            <w:tcW w:w="1092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33.34</w:t>
            </w:r>
          </w:p>
        </w:tc>
      </w:tr>
    </w:tbl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>ยกเว้นบางรายการที่อาจตัดออกหรือเพิ่มใหม่ เนื่องจากมีรายละเอียดเพิ่มขึ้น เช่น มีการระบุตำแหน่งซึ่งรหัสเดิมของค่าธรรมเนียมแพทย์เมื่อปี 2549 บางรหัสไม่ได้ระบุตำแหน่งของการเจ็บป่วย ทำให้ไม่สามารถหารหัสมาทดแทนได้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</w:rPr>
        <w:t>________________________________</w:t>
      </w:r>
    </w:p>
    <w:p w:rsidR="002F77E3" w:rsidRPr="000C1D27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0C1D27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0C1D27">
        <w:rPr>
          <w:rFonts w:ascii="TH SarabunPSK" w:eastAsia="Calibri" w:hAnsi="TH SarabunPSK" w:cs="TH SarabunPSK"/>
          <w:sz w:val="28"/>
          <w:cs/>
        </w:rPr>
        <w:t xml:space="preserve"> ยาชื่อสามัญ (</w:t>
      </w:r>
      <w:r w:rsidRPr="000C1D27">
        <w:rPr>
          <w:rFonts w:ascii="TH SarabunPSK" w:eastAsia="Calibri" w:hAnsi="TH SarabunPSK" w:cs="TH SarabunPSK"/>
          <w:sz w:val="28"/>
        </w:rPr>
        <w:t>Generic name</w:t>
      </w:r>
      <w:r w:rsidRPr="000C1D27">
        <w:rPr>
          <w:rFonts w:ascii="TH SarabunPSK" w:eastAsia="Calibri" w:hAnsi="TH SarabunPSK" w:cs="TH SarabunPSK"/>
          <w:sz w:val="28"/>
          <w:cs/>
        </w:rPr>
        <w:t>) 1 ชนิด สามารถมีชื่อทางการค้า (</w:t>
      </w:r>
      <w:r w:rsidRPr="000C1D27">
        <w:rPr>
          <w:rFonts w:ascii="TH SarabunPSK" w:eastAsia="Calibri" w:hAnsi="TH SarabunPSK" w:cs="TH SarabunPSK"/>
          <w:sz w:val="28"/>
        </w:rPr>
        <w:t>Trade name</w:t>
      </w:r>
      <w:r w:rsidRPr="000C1D27">
        <w:rPr>
          <w:rFonts w:ascii="TH SarabunPSK" w:eastAsia="Calibri" w:hAnsi="TH SarabunPSK" w:cs="TH SarabunPSK"/>
          <w:sz w:val="28"/>
          <w:cs/>
        </w:rPr>
        <w:t>) ได้หลายชื่อ เช่น พาราเซตามอล (</w:t>
      </w:r>
      <w:r w:rsidRPr="000C1D27">
        <w:rPr>
          <w:rFonts w:ascii="TH SarabunPSK" w:eastAsia="Calibri" w:hAnsi="TH SarabunPSK" w:cs="TH SarabunPSK"/>
          <w:sz w:val="28"/>
        </w:rPr>
        <w:t>Paracetamol</w:t>
      </w:r>
      <w:r w:rsidRPr="000C1D27">
        <w:rPr>
          <w:rFonts w:ascii="TH SarabunPSK" w:eastAsia="Calibri" w:hAnsi="TH SarabunPSK" w:cs="TH SarabunPSK"/>
          <w:sz w:val="28"/>
          <w:cs/>
        </w:rPr>
        <w:t xml:space="preserve">) เป็นชื่อสามัญของยาแก้ปวด ลดไข้ ซึ่งมีชื่อทางการค้าหลายชื่อ เช่น </w:t>
      </w:r>
      <w:r w:rsidRPr="000C1D27">
        <w:rPr>
          <w:rFonts w:ascii="TH SarabunPSK" w:eastAsia="Calibri" w:hAnsi="TH SarabunPSK" w:cs="TH SarabunPSK"/>
          <w:sz w:val="28"/>
        </w:rPr>
        <w:t xml:space="preserve">SARA </w:t>
      </w:r>
      <w:r w:rsidRPr="000C1D27">
        <w:rPr>
          <w:rFonts w:ascii="TH SarabunPSK" w:eastAsia="Calibri" w:hAnsi="TH SarabunPSK" w:cs="TH SarabunPSK"/>
          <w:sz w:val="28"/>
          <w:cs/>
        </w:rPr>
        <w:t xml:space="preserve">(ไทยนครพัฒนา) </w:t>
      </w:r>
      <w:r w:rsidRPr="000C1D27">
        <w:rPr>
          <w:rFonts w:ascii="TH SarabunPSK" w:eastAsia="Calibri" w:hAnsi="TH SarabunPSK" w:cs="TH SarabunPSK"/>
          <w:sz w:val="28"/>
        </w:rPr>
        <w:t xml:space="preserve">CEMOL </w:t>
      </w:r>
      <w:r w:rsidRPr="000C1D27">
        <w:rPr>
          <w:rFonts w:ascii="TH SarabunPSK" w:eastAsia="Calibri" w:hAnsi="TH SarabunPSK" w:cs="TH SarabunPSK"/>
          <w:sz w:val="28"/>
          <w:cs/>
        </w:rPr>
        <w:t xml:space="preserve">(ฟาร์มาสันต์แล็บบอราตอรี่ส์) </w:t>
      </w:r>
      <w:r w:rsidRPr="000C1D27">
        <w:rPr>
          <w:rFonts w:ascii="TH SarabunPSK" w:eastAsia="Calibri" w:hAnsi="TH SarabunPSK" w:cs="TH SarabunPSK"/>
          <w:sz w:val="28"/>
        </w:rPr>
        <w:t xml:space="preserve">PARA GPO </w:t>
      </w:r>
      <w:r w:rsidRPr="000C1D27">
        <w:rPr>
          <w:rFonts w:ascii="TH SarabunPSK" w:eastAsia="Calibri" w:hAnsi="TH SarabunPSK" w:cs="TH SarabunPSK"/>
          <w:sz w:val="28"/>
          <w:cs/>
        </w:rPr>
        <w:t xml:space="preserve">(องค์การเภสัชกรรม) และ </w:t>
      </w:r>
      <w:r w:rsidRPr="000C1D27">
        <w:rPr>
          <w:rFonts w:ascii="TH SarabunPSK" w:eastAsia="Calibri" w:hAnsi="TH SarabunPSK" w:cs="TH SarabunPSK"/>
          <w:sz w:val="28"/>
        </w:rPr>
        <w:t xml:space="preserve">PARACAP </w:t>
      </w:r>
      <w:r w:rsidRPr="000C1D27">
        <w:rPr>
          <w:rFonts w:ascii="TH SarabunPSK" w:eastAsia="Calibri" w:hAnsi="TH SarabunPSK" w:cs="TH SarabunPSK"/>
          <w:sz w:val="28"/>
          <w:cs/>
        </w:rPr>
        <w:t xml:space="preserve">(มาซา แลบ) </w:t>
      </w:r>
    </w:p>
    <w:p w:rsidR="002F77E3" w:rsidRPr="000C1D27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0C1D27">
        <w:rPr>
          <w:rFonts w:ascii="TH SarabunPSK" w:eastAsia="Calibri" w:hAnsi="TH SarabunPSK" w:cs="TH SarabunPSK"/>
          <w:sz w:val="28"/>
          <w:vertAlign w:val="superscript"/>
          <w:cs/>
        </w:rPr>
        <w:t>2</w:t>
      </w:r>
      <w:r w:rsidRPr="000C1D27">
        <w:rPr>
          <w:rFonts w:ascii="TH SarabunPSK" w:eastAsia="Calibri" w:hAnsi="TH SarabunPSK" w:cs="TH SarabunPSK"/>
          <w:sz w:val="28"/>
          <w:cs/>
        </w:rPr>
        <w:t xml:space="preserve"> </w:t>
      </w:r>
      <w:r w:rsidRPr="000C1D27">
        <w:rPr>
          <w:rFonts w:ascii="TH SarabunPSK" w:eastAsia="Calibri" w:hAnsi="TH SarabunPSK" w:cs="TH SarabunPSK"/>
          <w:b/>
          <w:bCs/>
          <w:sz w:val="28"/>
          <w:cs/>
        </w:rPr>
        <w:t xml:space="preserve">ค่าธรรมเนียมแพทย์ </w:t>
      </w:r>
      <w:r w:rsidRPr="000C1D27">
        <w:rPr>
          <w:rFonts w:ascii="TH SarabunPSK" w:eastAsia="Calibri" w:hAnsi="TH SarabunPSK" w:cs="TH SarabunPSK"/>
          <w:sz w:val="28"/>
          <w:cs/>
        </w:rPr>
        <w:t xml:space="preserve">เป็นค่าบริการที่โรงพยาบาลเอกชนกำหนดให้มีการเรียกเก็บเมื่อมีการรักษาพยาบาล ซึ่งเมื่อมีการจัดทำบัญชีและอัตราค่าใช้จ่ายแนบท้ายหลักเกณฑ์ </w:t>
      </w:r>
      <w:r w:rsidRPr="000C1D27">
        <w:rPr>
          <w:rFonts w:ascii="TH SarabunPSK" w:eastAsia="Calibri" w:hAnsi="TH SarabunPSK" w:cs="TH SarabunPSK"/>
          <w:sz w:val="28"/>
        </w:rPr>
        <w:t xml:space="preserve">UCEP </w:t>
      </w:r>
      <w:r w:rsidRPr="000C1D27">
        <w:rPr>
          <w:rFonts w:ascii="TH SarabunPSK" w:eastAsia="Calibri" w:hAnsi="TH SarabunPSK" w:cs="TH SarabunPSK"/>
          <w:sz w:val="28"/>
          <w:cs/>
        </w:rPr>
        <w:t>กลุ่มโรงพยาบาลเอกชนจึงได้เสนอให้เพิ่มรายการค่าธรรมเนียมแพทย์นี้เข้าไปในบัญชีดังกล่าว โดยจัดอยู่ในหมวดที่ 12 ค่าบริการวิชาชีพ โดยอ้างอิงอัตราจากคู่มือแนวทางการกำหนดค่าธรรมเนียมแพทย์</w:t>
      </w:r>
    </w:p>
    <w:p w:rsidR="002F77E3" w:rsidRPr="000C1D27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0C1D27">
        <w:rPr>
          <w:rFonts w:ascii="TH SarabunPSK" w:eastAsia="Calibri" w:hAnsi="TH SarabunPSK" w:cs="TH SarabunPSK"/>
          <w:sz w:val="28"/>
          <w:vertAlign w:val="superscript"/>
          <w:cs/>
        </w:rPr>
        <w:t>3</w:t>
      </w:r>
      <w:r w:rsidRPr="000C1D27">
        <w:rPr>
          <w:rFonts w:ascii="TH SarabunPSK" w:eastAsia="Calibri" w:hAnsi="TH SarabunPSK" w:cs="TH SarabunPSK"/>
          <w:sz w:val="28"/>
          <w:cs/>
        </w:rPr>
        <w:t xml:space="preserve"> </w:t>
      </w:r>
      <w:r w:rsidRPr="000C1D27">
        <w:rPr>
          <w:rFonts w:ascii="TH SarabunPSK" w:eastAsia="Calibri" w:hAnsi="TH SarabunPSK" w:cs="TH SarabunPSK"/>
          <w:b/>
          <w:bCs/>
          <w:sz w:val="28"/>
          <w:cs/>
        </w:rPr>
        <w:t xml:space="preserve">ค่าธรรมเนียมแพทย์ (ค่าบริการวิชาชีพ) คิดเป็นร้อยละ 45 ของค่าบริการผู้ป่วย </w:t>
      </w:r>
      <w:r w:rsidRPr="000C1D27">
        <w:rPr>
          <w:rFonts w:ascii="TH SarabunPSK" w:eastAsia="Calibri" w:hAnsi="TH SarabunPSK" w:cs="TH SarabunPSK"/>
          <w:b/>
          <w:bCs/>
          <w:sz w:val="28"/>
        </w:rPr>
        <w:t xml:space="preserve">UCEP </w:t>
      </w:r>
      <w:r w:rsidRPr="000C1D27">
        <w:rPr>
          <w:rFonts w:ascii="TH SarabunPSK" w:eastAsia="Calibri" w:hAnsi="TH SarabunPSK" w:cs="TH SarabunPSK"/>
          <w:b/>
          <w:bCs/>
          <w:sz w:val="28"/>
          <w:cs/>
        </w:rPr>
        <w:t xml:space="preserve">ทั้งหมด </w:t>
      </w:r>
      <w:r w:rsidRPr="000C1D27">
        <w:rPr>
          <w:rFonts w:ascii="TH SarabunPSK" w:eastAsia="Calibri" w:hAnsi="TH SarabunPSK" w:cs="TH SarabunPSK"/>
          <w:sz w:val="28"/>
          <w:cs/>
        </w:rPr>
        <w:t xml:space="preserve">(ค่าบริการผู้ป่วย </w:t>
      </w:r>
      <w:r w:rsidRPr="000C1D27">
        <w:rPr>
          <w:rFonts w:ascii="TH SarabunPSK" w:eastAsia="Calibri" w:hAnsi="TH SarabunPSK" w:cs="TH SarabunPSK"/>
          <w:sz w:val="28"/>
        </w:rPr>
        <w:t xml:space="preserve">UCEP </w:t>
      </w:r>
      <w:r w:rsidRPr="000C1D27">
        <w:rPr>
          <w:rFonts w:ascii="TH SarabunPSK" w:eastAsia="Calibri" w:hAnsi="TH SarabunPSK" w:cs="TH SarabunPSK"/>
          <w:sz w:val="28"/>
          <w:cs/>
        </w:rPr>
        <w:t xml:space="preserve">เช่น </w:t>
      </w:r>
      <w:r w:rsidR="000C1D27"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Pr="000C1D27">
        <w:rPr>
          <w:rFonts w:ascii="TH SarabunPSK" w:eastAsia="Calibri" w:hAnsi="TH SarabunPSK" w:cs="TH SarabunPSK"/>
          <w:sz w:val="28"/>
          <w:cs/>
        </w:rPr>
        <w:t xml:space="preserve">ค่าห้องและค่าอาหาร ค่ายา ค่าเวชภัณฑ์ที่ไม่ใช่ยา ค่าทำหัตถการ และค่าบริการวิชาชีพ) </w:t>
      </w:r>
      <w:r w:rsidRPr="000C1D27">
        <w:rPr>
          <w:rFonts w:ascii="TH SarabunPSK" w:eastAsia="Calibri" w:hAnsi="TH SarabunPSK" w:cs="TH SarabunPSK"/>
          <w:b/>
          <w:bCs/>
          <w:sz w:val="28"/>
          <w:cs/>
        </w:rPr>
        <w:t xml:space="preserve">ดังนั้น การปรับเพิ่มขึ้นของค่าธรรมเนียมแพทย์ตามที่ สธ. เสนอในครั้งนี้ จะส่งผลให้ค่าบริการผู้ป่วย </w:t>
      </w:r>
      <w:r w:rsidRPr="000C1D27">
        <w:rPr>
          <w:rFonts w:ascii="TH SarabunPSK" w:eastAsia="Calibri" w:hAnsi="TH SarabunPSK" w:cs="TH SarabunPSK"/>
          <w:b/>
          <w:bCs/>
          <w:sz w:val="28"/>
        </w:rPr>
        <w:t xml:space="preserve">UCEP </w:t>
      </w:r>
      <w:r w:rsidRPr="000C1D27">
        <w:rPr>
          <w:rFonts w:ascii="TH SarabunPSK" w:eastAsia="Calibri" w:hAnsi="TH SarabunPSK" w:cs="TH SarabunPSK"/>
          <w:b/>
          <w:bCs/>
          <w:sz w:val="28"/>
          <w:cs/>
        </w:rPr>
        <w:t>ในภาพรวมเพิ่มขึ้นร้อยละ 13.5</w:t>
      </w:r>
    </w:p>
    <w:p w:rsidR="002F77E3" w:rsidRPr="007F0A0C" w:rsidRDefault="002F77E3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F77E3" w:rsidRPr="007F0A0C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12. </w:t>
      </w:r>
      <w:r w:rsidR="002F77E3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ขออนุมัติงบกลาง รายการเงินสำรองจ่ายเพื่อกรณีฉุกเฉินหรือจำเป็น เพื่อใช้เป็นค่าใช้จ่ายในการจัดหาเครื่องสูบน้ำแบบเคลื่อนที่เร็วขับเคลื่อนด้วยระบบไฮดรอลิค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คณะรัฐมนตรีมีมติอนุมัติให้กระทรวงเกษตรและสหกรณ์ โดยกรมชลประทาน ใช้จ่ายงบประมาณรายจ่ายประจำปีงบประมาณ พ.ศ. 2566 งบกลาง รายการเงินสำรองจ่ายเพื่อกรณีฉุกเฉินหรือจำเป็น จำนวน 395.50 ล้านบาท เพื่อใช้เป็นค่าใช้จ่ายในการจัดหาเครื่องสูบน้ำแบบเคลื่อนที่เร็วขับด้วยระบบไฮดรอลิค รวม 2 รายการ จำนวน 25 เครื่อง ตามที่กระทรวงเกษตรและสหกรณ์ (กษ.) เสนอ 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กษ. รายงานว่า</w:t>
      </w:r>
    </w:p>
    <w:p w:rsidR="002F77E3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>1. ปัจจุบันประเทศไทยประสบปัญหาอุทกภัยและภัยแล้งรุนแรงมากขึ้น ก่อให้เกิดความเสียหายเป็นอย่างมาก ซึ่งที่ผ่านมา กษ. โดยกรมชลประทานที่มีภารกิจหลักในการบริหารจัดการน้ำได้มีความพยายามแก้ไขปัญหาดังกล่าวมาโดยตลอด โดยเฉพาะการเตรียมการก่อนเกิดเหตุภัยแล้งและอุทกภัย รวมถึงการเผชิญเหตุและฟื้นฟูหลังเกิดเหตุ ซึ่ง กษ. โดยกรมชลประทานมีความจำเป็นต้องมีเครื่องจักรเครื่องมือที่มีประสิทธิภาพสำหรับปฏิบัติภารกิจดังกล่าว อย่างไรก็ดี เครื่องจักรเครื่องมือที่มีอยู่ในปัจจุบัน โดยเฉพาะเครื่องจักรที่ใช้ในการสูบน้ำมีสภาพเก่ามากเกือบทั้งหมดและใช้เทคโนโลยีดั้งเดิม ถึงแม้ว่า กษ. โดยกรมชลประทานจะมีการดำเนินการซ่อมใหญ่เพื่อเป็นตัวช่วยในการยืดอายุการใช้งานและฟื้นฟูประสิทธิภาพได้เพียงส่วนหนึ่ง รวมทั้งเมื่อเปรียบเทียบกับเทคโนโลยีปัจจุบันนั้นมีความแตกต่างกันมากทั้งในด้านประสิทธิภาพ คุณภาพงาน และความคุ้มค่าด้านต้นทุนและผลผลิต นอกจากนี้ เครื่องจักรกลที่มีอยู่ยังไม่เพียงพอต่อความจำเป็นในการใช้งานในกรณีเร่งด่วนและการเผชิญเหตุอุทกภัยและภัยแล้ง กษ. จึงมีความจำเป็นต้องดำเนินการจัดหาเครื่องสูบน้ำแบบเคลื่อนที่เร็วด้วยระบบไฮดรอลิคที่มีสมรรถนะสูงและเพียงพอต่อความจำเป็นในการใช้งานเพื่อเตรียมความพร้อมในปฏิบัติภารกิจของกรมชลประทานทั้งในด้านการบริหารจัดการน้ำการแก้ไขและบรรเทาอุทกภัยและภัยแล้งได้อย่างมีประสิทธิภาพ สรุปได้ ดังนี้</w:t>
      </w:r>
    </w:p>
    <w:p w:rsidR="000C1D27" w:rsidRDefault="000C1D27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C1D27" w:rsidRPr="007F0A0C" w:rsidRDefault="000C1D27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1.1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วัตถุประสงค์ 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1.1.1 เพื่อเพิ่มศักยภาพและประสิทธิภาพในการบริหารจัดการน้ำและสนับสนุนการป้องกันบรรเทาและแก้ไขปัญหาภัยพิบัติ อุทกภัย ภัยแล้ง หรือภัยอื่น ๆ อันเกิดจากน้ำ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1.1.2 เพื่อให้มีเครื่องสูบน้ำที่เพียงพอพร้อมปฏิบัติงานตามภารกิจของกรมชลประทาน 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1.2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แผนงานโครงการ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กรมชลประทานขอใช้งบกลาง รายการเงินสำรองจ่ายเพื่อกรณีฉุกเฉินหรือจำเป็น วงเงิน 395.50 ล้านบาท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846"/>
        <w:gridCol w:w="5809"/>
        <w:gridCol w:w="1134"/>
        <w:gridCol w:w="1805"/>
      </w:tblGrid>
      <w:tr w:rsidR="002F77E3" w:rsidRPr="007F0A0C" w:rsidTr="002F77E3">
        <w:tc>
          <w:tcPr>
            <w:tcW w:w="846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ลำดับ</w:t>
            </w:r>
          </w:p>
        </w:tc>
        <w:tc>
          <w:tcPr>
            <w:tcW w:w="5812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ประเภทรายการ</w:t>
            </w: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เครื่องสูบน้ำแบบเคลื่อนที่เร็วขับด้วยระบบไฮดรอลิค</w:t>
            </w:r>
          </w:p>
        </w:tc>
        <w:tc>
          <w:tcPr>
            <w:tcW w:w="1134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จำนวน</w:t>
            </w: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(เครื่อง)</w:t>
            </w:r>
          </w:p>
        </w:tc>
        <w:tc>
          <w:tcPr>
            <w:tcW w:w="1805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งบประมาณ</w:t>
            </w: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(ล้านบาท)</w:t>
            </w:r>
          </w:p>
        </w:tc>
      </w:tr>
      <w:tr w:rsidR="002F77E3" w:rsidRPr="007F0A0C" w:rsidTr="002F77E3">
        <w:tc>
          <w:tcPr>
            <w:tcW w:w="846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1.</w:t>
            </w:r>
          </w:p>
        </w:tc>
        <w:tc>
          <w:tcPr>
            <w:tcW w:w="5812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ขนาด 30 นิ้ว</w:t>
            </w:r>
          </w:p>
        </w:tc>
        <w:tc>
          <w:tcPr>
            <w:tcW w:w="1134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15</w:t>
            </w:r>
          </w:p>
        </w:tc>
        <w:tc>
          <w:tcPr>
            <w:tcW w:w="1805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176.70</w:t>
            </w:r>
          </w:p>
        </w:tc>
      </w:tr>
      <w:tr w:rsidR="002F77E3" w:rsidRPr="007F0A0C" w:rsidTr="002F77E3">
        <w:tc>
          <w:tcPr>
            <w:tcW w:w="846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2.</w:t>
            </w:r>
          </w:p>
        </w:tc>
        <w:tc>
          <w:tcPr>
            <w:tcW w:w="5812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ขนาด 42 นิ้ว</w:t>
            </w:r>
          </w:p>
        </w:tc>
        <w:tc>
          <w:tcPr>
            <w:tcW w:w="1134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10</w:t>
            </w:r>
          </w:p>
        </w:tc>
        <w:tc>
          <w:tcPr>
            <w:tcW w:w="1805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218.80</w:t>
            </w:r>
          </w:p>
        </w:tc>
      </w:tr>
      <w:tr w:rsidR="002F77E3" w:rsidRPr="007F0A0C" w:rsidTr="002F77E3">
        <w:tc>
          <w:tcPr>
            <w:tcW w:w="6658" w:type="dxa"/>
            <w:gridSpan w:val="2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รวมทั้งสิ้น</w:t>
            </w:r>
          </w:p>
        </w:tc>
        <w:tc>
          <w:tcPr>
            <w:tcW w:w="1134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25</w:t>
            </w:r>
          </w:p>
        </w:tc>
        <w:tc>
          <w:tcPr>
            <w:tcW w:w="1805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395.50</w:t>
            </w:r>
          </w:p>
        </w:tc>
      </w:tr>
    </w:tbl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1.3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ผลลัพธ์ของโครงการ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กรมชลประทานมีเครื่องจักรกลสูบน้ำที่มีสมรรถนะสูงและมีคุณลักษณะเฉพาะตรงกับความจำเป็นในการใช้งาน เพิ่มประสิทธิภาพการปฏิบัติงานในภารกิจของกรมชลประทานทั้งในด้านบริหารจัดการน้ำ การเผชิญเหตุอุทกภัย ภัยแล้ง การเพิ่มพื้นที่ชลประทานตลอดจนการสนับสนุนนโยบายรัฐบาล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กษ. โดยกรมชลประทานได้ขอให้สำนักงบประมาณ (สงป.) พิจารณาจัดสรรงบประมาณเพื่อเป็นค่าใช้จ่ายในการจัดหาเครื่องจักรกลดังกล่าว ซึ่ง สงป. แจ้งว่า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นายกรัฐมนตรีเห็นชอบให้กรมชลประทานจัดหาเครื่องจักรกลประเภทเครื่องสูบน้ำ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เพื่อเพิ่มประสิทธิภาพในการบริหารจัดการน้ำและการแก้ไขปัญหาอุทกภัยและภัยแล้ง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รวม 2 รายการ จำนวน 25 เครื่อง โดยใช้จ่ายจากงบประมาณรายจ่ายประจำปีงบประมาณ พ.ศ. 2566 </w:t>
      </w:r>
      <w:r w:rsidR="000C5D3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งบกลาง รายการเงินสำรองจ่ายเพื่อกรณีฉุกเฉินหรือจำเป็น จำนวน 395.50 ล้านบาท และเห็นควรให้กรมชลประทานจัดทำแผนการบริหารจัดการเครื่องจักรกลประเภทเครื่องสูบน้ำให้เกิดประสิทธิภาพและสอดคล้องกับสถานการณ์</w:t>
      </w:r>
    </w:p>
    <w:p w:rsidR="002F77E3" w:rsidRPr="007F0A0C" w:rsidRDefault="002F77E3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F77E3" w:rsidRPr="007F0A0C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13. </w:t>
      </w:r>
      <w:r w:rsidR="002F77E3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ขออนุมัติดำเนินโครงการอ่างเก็บน้ำน้ำกิ จังหวัดน่าน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คณะรัฐมนตรีมีมติอนุมัติให้กระทรวงเกษตรและสหกรณ์ โดยกรมชลประทานดำเนินโครงการอ่างเก็บน้ำน้ำกิ จังหวัดน่าน (โครงการฯ) มีกำหนดแผนงานโครงการ 7 ปี (ปีงบประมาณ 2567 - 2573) กรอบวงเงินงบประมาณโครงการทั้งสิ้น 6,200 ล้านบาท ตามที่กระทรวงเกษตรและสหกรณ์ (กษ.) เสนอ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กษ. รายงานว่า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จังหวัดน่านมีสภาพภูมิประเทศเป็นเทือกเขาสูงและมีปริมาณฝนตกในพื้นที่อยู่ในเกณฑ์สูง </w:t>
      </w:r>
      <w:r w:rsidR="000C1D2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จึงเกิดปัญหาน้ำป่าไหลหลากในฤดูฝนเป็นประจำทุกปี แต่เนื่องจากไม่มีแหล่งเก็บกักน้ำไว้ใช้จึงประสบปัญหาขาดแคลนน้ำในฤดูแล้ง ในปี 2555 องค์การบริหารส่วนตำบลผาทองจึงขอรับการสนับสนุนโครงการอ่างเก็บน้ำน้ำกิพร้อมระบบส่งน้ำจากกรมชลประทาน กษ. ซึ่งกรมชลประทานได้เข้าตรวจสอบพื้นที่โครงการดังกล่าวและเห็นว่าสามารถพัฒนาโครงการเป็นโครงการพัฒนาแหล่งน้ำในลุ่นน้ำน่านตอนบนได้ 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โครงการอ่างเก็บน้ำน้ำกิ จังหวัดน่าน มีรายละเอียดดังนี้ 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1696"/>
        <w:gridCol w:w="7898"/>
      </w:tblGrid>
      <w:tr w:rsidR="002F77E3" w:rsidRPr="007F0A0C" w:rsidTr="002F77E3">
        <w:tc>
          <w:tcPr>
            <w:tcW w:w="1696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ประเด็น</w:t>
            </w:r>
          </w:p>
        </w:tc>
        <w:tc>
          <w:tcPr>
            <w:tcW w:w="7901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รายละเอียด</w:t>
            </w:r>
          </w:p>
        </w:tc>
      </w:tr>
      <w:tr w:rsidR="002F77E3" w:rsidRPr="007F0A0C" w:rsidTr="002F77E3">
        <w:tc>
          <w:tcPr>
            <w:tcW w:w="1696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วัตถุประสงค์และประโยชน์ที่ประชาชนได้รับ</w:t>
            </w:r>
          </w:p>
        </w:tc>
        <w:tc>
          <w:tcPr>
            <w:tcW w:w="7901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เป็น</w:t>
            </w:r>
            <w:r w:rsidRPr="007F0A0C">
              <w:rPr>
                <w:rFonts w:eastAsia="Calibri"/>
                <w:b/>
                <w:bCs/>
                <w:cs/>
              </w:rPr>
              <w:t>แหล่งกักเก็บน้ำ</w:t>
            </w:r>
            <w:r w:rsidRPr="007F0A0C">
              <w:rPr>
                <w:rFonts w:eastAsia="Calibri"/>
                <w:cs/>
              </w:rPr>
              <w:t>ไว้ใช้ในการเพาะปลูกและอุปโภคบริโภคของประชาชนในฤดูแล้ง ตลอดจนช่วย</w:t>
            </w:r>
            <w:r w:rsidRPr="007F0A0C">
              <w:rPr>
                <w:rFonts w:eastAsia="Calibri"/>
                <w:b/>
                <w:bCs/>
                <w:cs/>
              </w:rPr>
              <w:t>บรรเทาปัญหาอุทกภัย</w:t>
            </w:r>
            <w:r w:rsidRPr="007F0A0C">
              <w:rPr>
                <w:rFonts w:eastAsia="Calibri"/>
                <w:cs/>
              </w:rPr>
              <w:t>ในฤดูฝน รวมถึงสามารถเป็นแหล่งท่องเที่ยวและขยายพันธุ์ปลาน้ำจืดได้</w:t>
            </w:r>
          </w:p>
        </w:tc>
      </w:tr>
      <w:tr w:rsidR="002F77E3" w:rsidRPr="007F0A0C" w:rsidTr="002F77E3">
        <w:tc>
          <w:tcPr>
            <w:tcW w:w="1696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องค์ประกอบโครงการฯ</w:t>
            </w:r>
          </w:p>
        </w:tc>
        <w:tc>
          <w:tcPr>
            <w:tcW w:w="7901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1. </w:t>
            </w:r>
            <w:r w:rsidRPr="007F0A0C">
              <w:rPr>
                <w:rFonts w:eastAsia="Calibri"/>
                <w:b/>
                <w:bCs/>
                <w:cs/>
              </w:rPr>
              <w:t>เขื่อน</w:t>
            </w:r>
            <w:r w:rsidRPr="007F0A0C">
              <w:rPr>
                <w:rFonts w:eastAsia="Calibri"/>
                <w:cs/>
              </w:rPr>
              <w:t xml:space="preserve">ชนิดหินถมแกนดินเหนียว ความจุ 52.31 ล้านลูกบาศก์เมตร ความยาวเขื่อน 845 เมตร ความสูงเขื่อน 81.5 เมตร ความกว้างสันเขื่อน 12 เมตร พร้อมอาคารประกอบ (เช่น อาคารส่งน้ำ อาคารทางระบายน้ำล้น) 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2. </w:t>
            </w:r>
            <w:r w:rsidRPr="007F0A0C">
              <w:rPr>
                <w:rFonts w:eastAsia="Calibri"/>
                <w:b/>
                <w:bCs/>
                <w:cs/>
              </w:rPr>
              <w:t>ระบบชลประทานแบบท่อส่งน้ำและคลองส่งน้ำ</w:t>
            </w:r>
            <w:r w:rsidRPr="007F0A0C">
              <w:rPr>
                <w:rFonts w:eastAsia="Calibri"/>
                <w:cs/>
              </w:rPr>
              <w:t>ดาดคอนกรีตยาว ความยาวรวม 88.133 กิโลเมตร</w:t>
            </w:r>
          </w:p>
        </w:tc>
      </w:tr>
      <w:tr w:rsidR="002F77E3" w:rsidRPr="007F0A0C" w:rsidTr="002F77E3">
        <w:tc>
          <w:tcPr>
            <w:tcW w:w="1696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lastRenderedPageBreak/>
              <w:t>ที่ตั้งโครงการฯ</w:t>
            </w:r>
          </w:p>
        </w:tc>
        <w:tc>
          <w:tcPr>
            <w:tcW w:w="7901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cs/>
              </w:rPr>
              <w:t xml:space="preserve">1. </w:t>
            </w:r>
            <w:r w:rsidRPr="007F0A0C">
              <w:rPr>
                <w:rFonts w:eastAsia="Calibri"/>
                <w:b/>
                <w:bCs/>
                <w:cs/>
              </w:rPr>
              <w:t>เขื่อนหัวงานและอ่างเก็บน้ำของโครงการฯ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b/>
                <w:bCs/>
                <w:cs/>
              </w:rPr>
              <w:tab/>
            </w:r>
            <w:r w:rsidRPr="007F0A0C">
              <w:rPr>
                <w:rFonts w:eastAsia="Calibri"/>
                <w:cs/>
              </w:rPr>
              <w:t>ตั้งอยู่ในบริเวณบ้านวังผา หมู่ที่ 2 ตำบลผาทอง อำเภอท่าวังผา จังหวัดน่าน ซึ่งพื้นที่ดังกล่าว</w:t>
            </w:r>
            <w:r w:rsidRPr="007F0A0C">
              <w:rPr>
                <w:rFonts w:eastAsia="Calibri"/>
                <w:b/>
                <w:bCs/>
                <w:cs/>
              </w:rPr>
              <w:t xml:space="preserve">อยู่ในเขตป่าสงวนแห่งชาติน้ำยาวและป่าน้ำสวด จำนวน 1,733 ไร่ 84 ตารางวา </w:t>
            </w:r>
            <w:r w:rsidRPr="007F0A0C">
              <w:rPr>
                <w:rFonts w:eastAsia="Calibri"/>
                <w:cs/>
              </w:rPr>
              <w:t>[</w:t>
            </w:r>
            <w:r w:rsidRPr="007F0A0C">
              <w:rPr>
                <w:rFonts w:eastAsia="Calibri"/>
                <w:b/>
                <w:bCs/>
                <w:cs/>
              </w:rPr>
              <w:t xml:space="preserve">คณะกรรมการพิจารณาการใช้ประโยชน์ในเขตป่าสงวนแห่งชาติ </w:t>
            </w:r>
            <w:r w:rsidRPr="007F0A0C">
              <w:rPr>
                <w:rFonts w:eastAsia="Calibri"/>
                <w:cs/>
              </w:rPr>
              <w:t xml:space="preserve">(ปลัดกระทรวงทรัพยากรธรรมชาติและสิ่งแวดล้อมเป็นประธานกรรมการ) </w:t>
            </w:r>
            <w:r w:rsidRPr="007F0A0C">
              <w:rPr>
                <w:rFonts w:eastAsia="Calibri"/>
                <w:b/>
                <w:bCs/>
                <w:cs/>
              </w:rPr>
              <w:t xml:space="preserve">เห็นชอบให้กรมชลประทานใช้พื้นที่ในเขตป่าสงวนแห่งชาติดังกล่าวแล้ว </w:t>
            </w:r>
            <w:r w:rsidRPr="007F0A0C">
              <w:rPr>
                <w:rFonts w:eastAsia="Calibri"/>
                <w:cs/>
              </w:rPr>
              <w:t>เมื่อวันที่ 23 กุมภาพันธ์ 2565 รวมถึงกรมป่าไม้ได้ออกประกาศกรมป่าไม้ เรื่อง กำหนดบริเวณพื้นที่ให้ส่วนราชการหรือหน่วยงานของรัฐเข้าใช้ประโยชน์ภายในเขตป่าสงวนแห่งชาติ ฉบับที่ 44/2565 ประกาศ ณ วันที่ 1 มิถุนายน 2565 ซึ่งกำหนดให้กรมชลประทานสามารถใช้พื้นที่เขตป่าสงวนแห่งชาติป่าน้ำยาวและป่าน้ำสวดเพื่อดำเนินโครงการฯ แล้ว]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cs/>
              </w:rPr>
              <w:t xml:space="preserve">2. </w:t>
            </w:r>
            <w:r w:rsidRPr="007F0A0C">
              <w:rPr>
                <w:rFonts w:eastAsia="Calibri"/>
                <w:b/>
                <w:bCs/>
                <w:cs/>
              </w:rPr>
              <w:t>พื้นที่ชลประทาน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ab/>
              <w:t>โครงการฯ สามารถ</w:t>
            </w:r>
            <w:r w:rsidRPr="007F0A0C">
              <w:rPr>
                <w:rFonts w:eastAsia="Calibri"/>
                <w:b/>
                <w:bCs/>
                <w:cs/>
              </w:rPr>
              <w:t>ส่งน้ำให้พื้นที่ชลประทาน 35,558 ไร่</w:t>
            </w:r>
            <w:r w:rsidRPr="007F0A0C">
              <w:rPr>
                <w:rFonts w:eastAsia="Calibri"/>
                <w:cs/>
              </w:rPr>
              <w:t xml:space="preserve"> (พื้นที่ชลประทานเดิม 19,558 ไร่ และพื้นที่ชลประทานเปิดใหม่ 16,000 ไร่) ครอบคลุมพื้นที่ 8 ตำบล ได้แก่ ตำบลผาทอง ตำบลผาตอ ตำบลป่าคา ตำบลแสงทอง ตำบลศรีภูมิ ตำบลริม ตำบลตาลชุม และเทศบาลตำบลท่าวังผา อำเภอท่าวังผา จังหวัดน่าน มีครัวเรือนที่ได้รับประโยชน์ 6,305 ครัวเรือน)</w:t>
            </w:r>
          </w:p>
        </w:tc>
      </w:tr>
      <w:tr w:rsidR="002F77E3" w:rsidRPr="007F0A0C" w:rsidTr="002F77E3">
        <w:tc>
          <w:tcPr>
            <w:tcW w:w="1696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ระยะเวลา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ดำเนินโครงการ</w:t>
            </w:r>
          </w:p>
        </w:tc>
        <w:tc>
          <w:tcPr>
            <w:tcW w:w="7901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7 ปี (ปีงบประมาณ 2567 - 2573)</w:t>
            </w:r>
          </w:p>
        </w:tc>
      </w:tr>
      <w:tr w:rsidR="002F77E3" w:rsidRPr="007F0A0C" w:rsidTr="002F77E3">
        <w:tc>
          <w:tcPr>
            <w:tcW w:w="1696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แผนปฏิบัติการ</w:t>
            </w:r>
          </w:p>
        </w:tc>
        <w:tc>
          <w:tcPr>
            <w:tcW w:w="7901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ภายหลังคณะรัฐมนตรีมีมติอนุมัติโครงการฯ กษ. มีแผนการดำเนินการ ดังนี้ 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1. </w:t>
            </w:r>
            <w:r w:rsidRPr="007F0A0C">
              <w:rPr>
                <w:rFonts w:eastAsia="Calibri"/>
                <w:b/>
                <w:bCs/>
                <w:cs/>
              </w:rPr>
              <w:t xml:space="preserve">ระยะเวลา 3 เดือน </w:t>
            </w:r>
            <w:r w:rsidRPr="007F0A0C">
              <w:rPr>
                <w:rFonts w:eastAsia="Calibri"/>
                <w:cs/>
              </w:rPr>
              <w:t>: ดำเนินการตรวจสอบบัญชีค่ารื้อย้ายทรัพย์สิน</w:t>
            </w:r>
            <w:r w:rsidRPr="007F0A0C">
              <w:rPr>
                <w:rFonts w:eastAsia="Calibri"/>
                <w:vertAlign w:val="superscript"/>
                <w:cs/>
              </w:rPr>
              <w:t>1</w:t>
            </w:r>
            <w:r w:rsidRPr="007F0A0C">
              <w:rPr>
                <w:rFonts w:eastAsia="Calibri"/>
                <w:cs/>
              </w:rPr>
              <w:t xml:space="preserve"> เพื่อการชลประทานบริเวณที่จะก่อสร้างโครงการทั้งหมด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2. </w:t>
            </w:r>
            <w:r w:rsidRPr="007F0A0C">
              <w:rPr>
                <w:rFonts w:eastAsia="Calibri"/>
                <w:b/>
                <w:bCs/>
                <w:cs/>
              </w:rPr>
              <w:t xml:space="preserve">ระยะเวลา 6 เดือน </w:t>
            </w:r>
            <w:r w:rsidRPr="007F0A0C">
              <w:rPr>
                <w:rFonts w:eastAsia="Calibri"/>
                <w:cs/>
              </w:rPr>
              <w:t>: จ่ายค่ารื้อย้ายทรัพย์สินบริเวณที่ดินและเตรียมความพร้อมในกระบวนการจัดซื้อจัดจ้าง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 xml:space="preserve">3. </w:t>
            </w:r>
            <w:r w:rsidRPr="007F0A0C">
              <w:rPr>
                <w:rFonts w:eastAsia="Calibri"/>
                <w:b/>
                <w:bCs/>
                <w:cs/>
              </w:rPr>
              <w:t xml:space="preserve">ระยะเวลา 9 - 12 เดือน </w:t>
            </w:r>
            <w:r w:rsidRPr="007F0A0C">
              <w:rPr>
                <w:rFonts w:eastAsia="Calibri"/>
                <w:cs/>
              </w:rPr>
              <w:t>: ดำเนินการก่อสร้างโครงการอ่างเก็บน้ำน้ำกิ จังหวัดน่าน</w:t>
            </w:r>
          </w:p>
        </w:tc>
      </w:tr>
      <w:tr w:rsidR="002F77E3" w:rsidRPr="007F0A0C" w:rsidTr="002F77E3">
        <w:tc>
          <w:tcPr>
            <w:tcW w:w="1696" w:type="dxa"/>
          </w:tcPr>
          <w:p w:rsidR="002F77E3" w:rsidRPr="007F0A0C" w:rsidRDefault="002F77E3" w:rsidP="000C5D3E">
            <w:pPr>
              <w:spacing w:line="320" w:lineRule="exact"/>
              <w:jc w:val="lef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สถานภาพโครงการฯ</w:t>
            </w:r>
          </w:p>
        </w:tc>
        <w:tc>
          <w:tcPr>
            <w:tcW w:w="7901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cs/>
              </w:rPr>
              <w:t xml:space="preserve">1. </w:t>
            </w:r>
            <w:r w:rsidRPr="007F0A0C">
              <w:rPr>
                <w:rFonts w:eastAsia="Calibri"/>
                <w:b/>
                <w:bCs/>
                <w:cs/>
              </w:rPr>
              <w:t xml:space="preserve">การออกแบบโครงการฯ 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ab/>
              <w:t>เขื่อนหัวงานออกแบบแล้วเสร็จเมื่อปี 2561 ในส่วนระบบส่งน้ำคาดว่าจะสำรวจและออกแบบแล้วเสร็จในปี 2566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cs/>
              </w:rPr>
              <w:t xml:space="preserve">2. </w:t>
            </w:r>
            <w:r w:rsidRPr="007F0A0C">
              <w:rPr>
                <w:rFonts w:eastAsia="Calibri"/>
                <w:b/>
                <w:bCs/>
                <w:cs/>
              </w:rPr>
              <w:t>การรับฟังความคิดเห็นของประชาชนในพื้นที่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ab/>
            </w:r>
            <w:r w:rsidRPr="007F0A0C">
              <w:rPr>
                <w:rFonts w:eastAsia="Calibri"/>
                <w:cs/>
              </w:rPr>
              <w:t>กรมชลประทานได้จัดทำเวทีประชาพิจารณ์เพื่อรับฟังความคิดเห็นของประชาชนในพื้นที่โครงการฯ จำนวน 11 ครั้ง ระหว่างปี 2558 - 2559 ซึ่ง</w:t>
            </w:r>
            <w:r w:rsidRPr="007F0A0C">
              <w:rPr>
                <w:rFonts w:eastAsia="Calibri"/>
                <w:b/>
                <w:bCs/>
                <w:cs/>
              </w:rPr>
              <w:t>ประชาชนส่วนใหญ่เห็นด้วยและต้องการให้ดำเนินการโดยเร็ว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cs/>
              </w:rPr>
              <w:t xml:space="preserve">3. </w:t>
            </w:r>
            <w:r w:rsidRPr="007F0A0C">
              <w:rPr>
                <w:rFonts w:eastAsia="Calibri"/>
                <w:b/>
                <w:bCs/>
                <w:cs/>
              </w:rPr>
              <w:t>รายงานการประเมินผลกระทบสิ่งแวดล้อม (</w:t>
            </w:r>
            <w:r w:rsidRPr="007F0A0C">
              <w:rPr>
                <w:rFonts w:eastAsia="Calibri"/>
                <w:b/>
                <w:bCs/>
              </w:rPr>
              <w:t>EIA</w:t>
            </w:r>
            <w:r w:rsidRPr="007F0A0C">
              <w:rPr>
                <w:rFonts w:eastAsia="Calibri"/>
                <w:b/>
                <w:bCs/>
                <w:cs/>
              </w:rPr>
              <w:t xml:space="preserve">) 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ab/>
              <w:t xml:space="preserve">จัดทำรายงาน </w:t>
            </w:r>
            <w:r w:rsidRPr="007F0A0C">
              <w:rPr>
                <w:rFonts w:eastAsia="Calibri"/>
              </w:rPr>
              <w:t xml:space="preserve">EIA </w:t>
            </w:r>
            <w:r w:rsidRPr="007F0A0C">
              <w:rPr>
                <w:rFonts w:eastAsia="Calibri"/>
                <w:cs/>
              </w:rPr>
              <w:t>แล้วเสร็จเมื่อเดือนกรกฎาคม 2560 และคณะกรรมการผู้ชำนาญการพิจารณารายงานการประเมินผลกระทบสิ่งแวดล้อม โครงการพัฒนาแหล่งน้ำได้</w:t>
            </w:r>
            <w:r w:rsidRPr="007F0A0C">
              <w:rPr>
                <w:rFonts w:eastAsia="Calibri"/>
                <w:b/>
                <w:bCs/>
                <w:cs/>
              </w:rPr>
              <w:t xml:space="preserve">เห็นชอบรายงาน </w:t>
            </w:r>
            <w:r w:rsidRPr="007F0A0C">
              <w:rPr>
                <w:rFonts w:eastAsia="Calibri"/>
                <w:b/>
                <w:bCs/>
              </w:rPr>
              <w:t xml:space="preserve">EIA </w:t>
            </w:r>
            <w:r w:rsidRPr="007F0A0C">
              <w:rPr>
                <w:rFonts w:eastAsia="Calibri"/>
                <w:b/>
                <w:bCs/>
                <w:cs/>
              </w:rPr>
              <w:t>ของโครงการฯ แล้ว</w:t>
            </w:r>
            <w:r w:rsidRPr="007F0A0C">
              <w:rPr>
                <w:rFonts w:eastAsia="Calibri"/>
                <w:cs/>
              </w:rPr>
              <w:t>เมื่อวันที่ 25 มีนาคม 2564 ทั้งนี้ กษ. ได้จัดทำแผนปฏิบัติการป้องกันแก้ไขและติดตามตรวจสอบผลกระทบสิ่งแวดล้อม (</w:t>
            </w:r>
            <w:r w:rsidRPr="007F0A0C">
              <w:rPr>
                <w:rFonts w:eastAsia="Calibri"/>
              </w:rPr>
              <w:t>EIMP</w:t>
            </w:r>
            <w:r w:rsidRPr="007F0A0C">
              <w:rPr>
                <w:rFonts w:eastAsia="Calibri"/>
                <w:cs/>
              </w:rPr>
              <w:t>)</w:t>
            </w:r>
            <w:r w:rsidRPr="007F0A0C">
              <w:rPr>
                <w:rFonts w:eastAsia="Calibri"/>
                <w:vertAlign w:val="superscript"/>
                <w:cs/>
              </w:rPr>
              <w:t>2</w:t>
            </w:r>
            <w:r w:rsidRPr="007F0A0C">
              <w:rPr>
                <w:rFonts w:eastAsia="Calibri"/>
                <w:cs/>
              </w:rPr>
              <w:t xml:space="preserve"> </w:t>
            </w:r>
            <w:r w:rsidR="000C1D27">
              <w:rPr>
                <w:rFonts w:eastAsia="Calibri" w:hint="cs"/>
                <w:cs/>
              </w:rPr>
              <w:t xml:space="preserve">           </w:t>
            </w:r>
            <w:r w:rsidRPr="007F0A0C">
              <w:rPr>
                <w:rFonts w:eastAsia="Calibri"/>
                <w:cs/>
              </w:rPr>
              <w:t xml:space="preserve">(แผน </w:t>
            </w:r>
            <w:r w:rsidRPr="007F0A0C">
              <w:rPr>
                <w:rFonts w:eastAsia="Calibri"/>
              </w:rPr>
              <w:t>EIMP</w:t>
            </w:r>
            <w:r w:rsidRPr="007F0A0C">
              <w:rPr>
                <w:rFonts w:eastAsia="Calibri"/>
                <w:cs/>
              </w:rPr>
              <w:t xml:space="preserve">) ด้วยแล้ว ซึ่งประกอบด้วย (1) แผนปฏิบัติการป้องกันแก้ไขและลดผลกระทบสิ่งแวดล้อม มีกิจกรรมที่สำคัญ เช่น การปลูกป่าทดแทน การผลักดันสัตว์ป่าออกจากพื้นที่ การส่งเสริมอาชีพประชาชนในพื้นที่ เป็นต้น และ (2) แผนปฏิบัติการติดตามตรวจสอบผลกระทบสิ่งแวดล้อม มีกิจกรรมที่สำคัญ เช่น การตรวจสอบคุณภาพน้ำผิวดิน - ใต้ดิน </w:t>
            </w:r>
            <w:r w:rsidR="000C1D27">
              <w:rPr>
                <w:rFonts w:eastAsia="Calibri" w:hint="cs"/>
                <w:cs/>
              </w:rPr>
              <w:t xml:space="preserve">      </w:t>
            </w:r>
            <w:r w:rsidR="001235B0">
              <w:rPr>
                <w:rFonts w:eastAsia="Calibri" w:hint="cs"/>
                <w:spacing w:val="-6"/>
                <w:cs/>
              </w:rPr>
              <w:t xml:space="preserve">     </w:t>
            </w:r>
            <w:r w:rsidR="00E837AF">
              <w:rPr>
                <w:rFonts w:eastAsia="Calibri" w:hint="cs"/>
                <w:spacing w:val="-6"/>
                <w:cs/>
              </w:rPr>
              <w:t xml:space="preserve">         </w:t>
            </w:r>
            <w:r w:rsidR="00B4745E">
              <w:rPr>
                <w:rFonts w:eastAsia="Calibri" w:hint="cs"/>
                <w:spacing w:val="-6"/>
                <w:cs/>
              </w:rPr>
              <w:t xml:space="preserve">     </w:t>
            </w:r>
            <w:r w:rsidRPr="000C1D27">
              <w:rPr>
                <w:rFonts w:eastAsia="Calibri"/>
                <w:spacing w:val="-6"/>
                <w:cs/>
              </w:rPr>
              <w:t xml:space="preserve">การตรวจสอบทรัพยากรสัตว์ป่า การติดตามควบคุมและเฝ้าระวังด้านอนามัยสิ่งแวดล้อม </w:t>
            </w:r>
            <w:r w:rsidR="000C1D27" w:rsidRPr="000C1D27">
              <w:rPr>
                <w:rFonts w:eastAsia="Calibri" w:hint="cs"/>
                <w:spacing w:val="-6"/>
                <w:cs/>
              </w:rPr>
              <w:t xml:space="preserve"> </w:t>
            </w:r>
            <w:r w:rsidRPr="000C1D27">
              <w:rPr>
                <w:rFonts w:eastAsia="Calibri"/>
                <w:spacing w:val="-6"/>
                <w:cs/>
              </w:rPr>
              <w:t>เป็นต้น</w:t>
            </w:r>
            <w:r w:rsidRPr="007F0A0C">
              <w:rPr>
                <w:rFonts w:eastAsia="Calibri"/>
                <w:cs/>
              </w:rPr>
              <w:t xml:space="preserve"> ทั้งนี้ การดำเนินการตามแผน </w:t>
            </w:r>
            <w:r w:rsidRPr="007F0A0C">
              <w:rPr>
                <w:rFonts w:eastAsia="Calibri"/>
              </w:rPr>
              <w:t xml:space="preserve">EIMP </w:t>
            </w:r>
            <w:r w:rsidRPr="007F0A0C">
              <w:rPr>
                <w:rFonts w:eastAsia="Calibri"/>
                <w:cs/>
              </w:rPr>
              <w:t xml:space="preserve">จะใช้การบูรณาการจากหลายหน่วยงาน เช่น </w:t>
            </w:r>
            <w:r w:rsidR="000C1D27">
              <w:rPr>
                <w:rFonts w:eastAsia="Calibri" w:hint="cs"/>
                <w:cs/>
              </w:rPr>
              <w:t xml:space="preserve">             </w:t>
            </w:r>
            <w:r w:rsidRPr="007F0A0C">
              <w:rPr>
                <w:rFonts w:eastAsia="Calibri"/>
                <w:cs/>
              </w:rPr>
              <w:t xml:space="preserve">กรมชลประทาน กรมป่าไม้ กรมอนามัย เป็นต้น </w:t>
            </w:r>
          </w:p>
        </w:tc>
      </w:tr>
      <w:tr w:rsidR="002F77E3" w:rsidRPr="007F0A0C" w:rsidTr="002F77E3">
        <w:tc>
          <w:tcPr>
            <w:tcW w:w="1696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การวิเคราะห์ทางเศรษฐศาสตร์</w:t>
            </w:r>
          </w:p>
        </w:tc>
        <w:tc>
          <w:tcPr>
            <w:tcW w:w="7901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วิเคราะห์ ณ อัตราคิดลดร้อยละ 8 ดังนี้ 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1. มูลค่าปัจจุบันสุทธิ (</w:t>
            </w:r>
            <w:r w:rsidRPr="007F0A0C">
              <w:rPr>
                <w:rFonts w:eastAsia="Calibri"/>
              </w:rPr>
              <w:t>NPV</w:t>
            </w:r>
            <w:r w:rsidRPr="007F0A0C">
              <w:rPr>
                <w:rFonts w:eastAsia="Calibri"/>
                <w:cs/>
              </w:rPr>
              <w:t>) 369.79 ล้านบาท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lastRenderedPageBreak/>
              <w:t>2. อัตราผลประโยชน์ต่อค่าลงทุน (</w:t>
            </w:r>
            <w:r w:rsidRPr="007F0A0C">
              <w:rPr>
                <w:rFonts w:eastAsia="Calibri"/>
              </w:rPr>
              <w:t>B</w:t>
            </w:r>
            <w:r w:rsidRPr="007F0A0C">
              <w:rPr>
                <w:rFonts w:eastAsia="Calibri"/>
                <w:cs/>
              </w:rPr>
              <w:t>/</w:t>
            </w:r>
            <w:r w:rsidRPr="007F0A0C">
              <w:rPr>
                <w:rFonts w:eastAsia="Calibri"/>
              </w:rPr>
              <w:t>C Ratio</w:t>
            </w:r>
            <w:r w:rsidRPr="007F0A0C">
              <w:rPr>
                <w:rFonts w:eastAsia="Calibri"/>
                <w:cs/>
              </w:rPr>
              <w:t xml:space="preserve">) 1.08 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3. อัตราผลตอบแทนด้านเศรษฐกิจ (</w:t>
            </w:r>
            <w:r w:rsidRPr="007F0A0C">
              <w:rPr>
                <w:rFonts w:eastAsia="Calibri"/>
              </w:rPr>
              <w:t>EIRR</w:t>
            </w:r>
            <w:r w:rsidRPr="007F0A0C">
              <w:rPr>
                <w:rFonts w:eastAsia="Calibri"/>
                <w:cs/>
              </w:rPr>
              <w:t>) ร้อยละ 8.53</w:t>
            </w:r>
          </w:p>
        </w:tc>
      </w:tr>
      <w:tr w:rsidR="002F77E3" w:rsidRPr="007F0A0C" w:rsidTr="002F77E3">
        <w:tc>
          <w:tcPr>
            <w:tcW w:w="1696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lastRenderedPageBreak/>
              <w:t>งบประมาณ</w:t>
            </w:r>
          </w:p>
        </w:tc>
        <w:tc>
          <w:tcPr>
            <w:tcW w:w="7901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ใช้</w:t>
            </w:r>
            <w:r w:rsidRPr="007F0A0C">
              <w:rPr>
                <w:rFonts w:eastAsia="Calibri"/>
                <w:b/>
                <w:bCs/>
                <w:cs/>
              </w:rPr>
              <w:t xml:space="preserve">งบลงทุนรวม 6,200 ล้านบาท </w:t>
            </w:r>
            <w:r w:rsidRPr="007F0A0C">
              <w:rPr>
                <w:rFonts w:eastAsia="Calibri"/>
                <w:cs/>
              </w:rPr>
              <w:t>ประกอบด้วย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1. </w:t>
            </w:r>
            <w:r w:rsidRPr="007F0A0C">
              <w:rPr>
                <w:rFonts w:eastAsia="Calibri"/>
                <w:b/>
                <w:bCs/>
                <w:cs/>
              </w:rPr>
              <w:t>ค่าชดเชยที่ดิน</w:t>
            </w:r>
            <w:r w:rsidRPr="007F0A0C">
              <w:rPr>
                <w:rFonts w:eastAsia="Calibri"/>
                <w:b/>
                <w:bCs/>
                <w:vertAlign w:val="superscript"/>
                <w:cs/>
              </w:rPr>
              <w:t>3</w:t>
            </w:r>
            <w:r w:rsidRPr="007F0A0C">
              <w:rPr>
                <w:rFonts w:eastAsia="Calibri"/>
                <w:b/>
                <w:bCs/>
                <w:cs/>
              </w:rPr>
              <w:t xml:space="preserve"> </w:t>
            </w:r>
            <w:r w:rsidRPr="007F0A0C">
              <w:rPr>
                <w:rFonts w:eastAsia="Calibri"/>
                <w:cs/>
              </w:rPr>
              <w:t>228.6526 ล้านบาท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2. </w:t>
            </w:r>
            <w:r w:rsidRPr="007F0A0C">
              <w:rPr>
                <w:rFonts w:eastAsia="Calibri"/>
                <w:b/>
                <w:bCs/>
                <w:cs/>
              </w:rPr>
              <w:t xml:space="preserve">ค่าสิ่งก่อสร้าง </w:t>
            </w:r>
            <w:r w:rsidRPr="007F0A0C">
              <w:rPr>
                <w:rFonts w:eastAsia="Calibri"/>
                <w:cs/>
              </w:rPr>
              <w:t>5,971.3474 ล้านบาท ประกอบด้วย</w:t>
            </w:r>
          </w:p>
          <w:p w:rsidR="002F77E3" w:rsidRPr="007F0A0C" w:rsidRDefault="002F77E3" w:rsidP="007F0A0C">
            <w:pPr>
              <w:spacing w:line="320" w:lineRule="exact"/>
              <w:ind w:left="748" w:hanging="709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     2.1 ค่าก่อสร้างแหล่งน้ำ (เขื่อนหัวงาน ระบบท่อส่งน้ำ และอาคารประกอบ) 5,550.0669 ล้านบาท</w:t>
            </w:r>
          </w:p>
          <w:p w:rsidR="002F77E3" w:rsidRPr="007F0A0C" w:rsidRDefault="002F77E3" w:rsidP="007F0A0C">
            <w:pPr>
              <w:spacing w:line="320" w:lineRule="exact"/>
              <w:ind w:left="748" w:hanging="709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     2.2 ค่าปรับปรุงสิ่งก่อสร้าง (บูรณะสิ่งก่อสร้างและถนน) 5.33 ล้านบาท </w:t>
            </w:r>
          </w:p>
          <w:p w:rsidR="002F77E3" w:rsidRPr="007F0A0C" w:rsidRDefault="002F77E3" w:rsidP="007F0A0C">
            <w:pPr>
              <w:spacing w:line="320" w:lineRule="exact"/>
              <w:ind w:left="748" w:hanging="709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     2.3 ค่าก่อสร้างส่วนประกอบอื่น (เช่น ถนนเข้าหัวงาน อาคารสำนักงานของโครงการฯ</w:t>
            </w:r>
            <w:r w:rsidR="00260D26">
              <w:rPr>
                <w:rFonts w:eastAsia="Calibri" w:hint="cs"/>
                <w:cs/>
              </w:rPr>
              <w:t xml:space="preserve">  </w:t>
            </w:r>
            <w:r w:rsidRPr="007F0A0C">
              <w:rPr>
                <w:rFonts w:eastAsia="Calibri"/>
                <w:cs/>
              </w:rPr>
              <w:t xml:space="preserve"> ในพื้นที่ เป็นต้น) 225.8405 ล้านบาท</w:t>
            </w:r>
          </w:p>
          <w:p w:rsidR="002F77E3" w:rsidRPr="007F0A0C" w:rsidRDefault="002F77E3" w:rsidP="007F0A0C">
            <w:pPr>
              <w:spacing w:line="320" w:lineRule="exact"/>
              <w:ind w:left="748" w:hanging="709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     2.4 ค่าสำรวจออกแบบ 4.5 ล้านบาท</w:t>
            </w:r>
          </w:p>
          <w:p w:rsidR="002F77E3" w:rsidRPr="007F0A0C" w:rsidRDefault="002F77E3" w:rsidP="007F0A0C">
            <w:pPr>
              <w:spacing w:line="320" w:lineRule="exact"/>
              <w:ind w:left="748" w:hanging="709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 xml:space="preserve">     2.5 งบประมาณตามแผน </w:t>
            </w:r>
            <w:r w:rsidRPr="007F0A0C">
              <w:rPr>
                <w:rFonts w:eastAsia="Calibri"/>
              </w:rPr>
              <w:t xml:space="preserve">EIMP </w:t>
            </w:r>
            <w:r w:rsidRPr="007F0A0C">
              <w:rPr>
                <w:rFonts w:eastAsia="Calibri"/>
                <w:cs/>
              </w:rPr>
              <w:t>185.61 ล้านบาท</w:t>
            </w:r>
          </w:p>
        </w:tc>
      </w:tr>
    </w:tbl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>3. กระทรวงทรัพยากรธรรมชาติและสิ่งแวดล้อม (ทส.) พิจารณาแล้วเห็นชอบให้ กษ. ดำเนินโครงการฯ แล้ว และให้ผู้ขออนุญาตปฏิบัติตามมาตรการป้องกันและแก้ไขผลกระทบสิ่งแวดล้อมและมาตรการติดตามตรวจสอบผลกระทบสิ่งแวดล้อมอย่างเคร่งครัด และปฏิบัติตามมติคณะรัฐมนตรีเมื่อวันที่ 29 มกราคม 2556 กรณีการดำเนินโครงการใด ๆ ของหน่วยงานรัฐที่มีความจำเป็นต้องเข้าใช้ประโยชน์ในพื้นที่ป่า และจะต้องมีการปลูกป่าทดแทนเพื่อการอนุรักษ์หรือรักษาสภาพแวดล้อมของพื้นที่ ให้พิจารณา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จัดสรรงบประมาณเพื่อเป็นค่าใช้จ่ายในการปลูกป่าทดแทน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ให้กับหน่วยงานของรัฐเจ้าของโครงการหรือหน่วยงานของรัฐที่เป็นผู้ดำเนินการปลูกป่าตามเงื่อนไขและหลักเกณฑ์ที่คณะกรรมการสิ่งแวดล้อมแห่งชาติกำหนด โดยถือเป็นค่าใช้จ่ายส่วนหนึ่งของโครงการนั้น ๆ ด้วย (กษ. ตั้งงบประมาณในการปลูกป่าทดแทนไว้แล้วในแผน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EIMP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จำนวน 56.68 ล้านบาท โดยให้กรมป่าไม้เป็นหน่วยงานรับผิดชอบ)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D26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4. คณะกรรมการทรัพยากรน้ำแห่งชาติ (กนช.) ในการประชุมครั้งที่ 2/2565 เมื่อวันที่ 30 มิถุนยายน 2565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มีมติเห็นชอบในหลักการให้กรมชลประทานดำเนินโครงการฯ แล้ว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</w:rPr>
        <w:t>____________________________________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กษ. แจ้งข้อมูลเพิ่มเติมอย่างไม่เป็นทางการว่า พื้นที่ของโครงการฯ อาจกระทบถนน ท่อส่งน้ำ หรือระบบสาธารณูปโภคอื่น ๆ บางส่วนในพื้นที่ กษ. จึงตั้งงบประมาณให้ครอบคลุมกรณีดังกล่าวไว้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2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แผนปฏิบัติการป้องกันแก้ไขและติดตามตรวจสอบผลกระทบสิ่งแวดล้อม (</w:t>
      </w:r>
      <w:r w:rsidRPr="007F0A0C">
        <w:rPr>
          <w:rFonts w:ascii="TH SarabunPSK" w:eastAsia="Calibri" w:hAnsi="TH SarabunPSK" w:cs="TH SarabunPSK"/>
          <w:sz w:val="32"/>
          <w:szCs w:val="32"/>
        </w:rPr>
        <w:t>EIMP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) คือแผนที่กำหนดการดำเนินงานแก้ไขผลกระทบสิ่งแวดล้อมตามรายงาน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EIA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รวมถึงกำหนดการติดตามการดำเนินงานแก้ไขดังกล่าว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3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กษ. แจ้งข้อมูลเพิ่มเติมอย่างไม่เป็นทางการว่า การชดเชยดังกล่าวเป็นไปตามนัยมติคณะรัฐมนตรีเมื่อวันที่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11 กรกฎาคม 2532 โดยรัฐจะจ่ายค่าขนย้ายทรัพย์สินแก่ประชาชนที่เข้าไปครอบครองหรือใช้ประโยชน์ในพื้นที่ป่าสงวนแห่งชาติโดยไม่มีเอกสารสิทธิ ซึ่งสำหรับกรณีโครงการฯ มีประชาชนบางส่วนเข้าไปใช้พื้นที่ป่าสงวนแห่งชาติน้ำยาวและป่าน้ำสวดเพื่อปลูกไร่ข้าวโพดหรือทำสวนยางพารา เป็นต้น</w:t>
      </w:r>
    </w:p>
    <w:p w:rsidR="002F77E3" w:rsidRPr="007F0A0C" w:rsidRDefault="002F77E3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347106" w:rsidRPr="00347106" w:rsidRDefault="00AB685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14. </w:t>
      </w:r>
      <w:r w:rsidR="00347106" w:rsidRPr="003471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เรื่อง  (ร่าง) แผนแม่บทการบริหารจัดการแร่ ฉบับที่ 2 (พ.ศ. 2566-2570) </w:t>
      </w:r>
    </w:p>
    <w:p w:rsidR="00347106" w:rsidRPr="00935CBC" w:rsidRDefault="00347106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pacing w:val="4"/>
          <w:sz w:val="32"/>
          <w:szCs w:val="32"/>
        </w:rPr>
      </w:pPr>
      <w:r w:rsidRPr="0034710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35CBC">
        <w:rPr>
          <w:rFonts w:ascii="TH SarabunPSK" w:eastAsia="Cordia New" w:hAnsi="TH SarabunPSK" w:cs="TH SarabunPSK"/>
          <w:spacing w:val="4"/>
          <w:sz w:val="32"/>
          <w:szCs w:val="32"/>
          <w:cs/>
        </w:rPr>
        <w:t xml:space="preserve">คณะรัฐมนตรีมีมติเห็นชอบ (ร่าง) แผนแม่บทการบริหารจัดการแร่ ฉบับที่ 2 (พ.ศ. 2566-2570)  </w:t>
      </w:r>
    </w:p>
    <w:p w:rsidR="00347106" w:rsidRPr="00347106" w:rsidRDefault="00347106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47106">
        <w:rPr>
          <w:rFonts w:ascii="TH SarabunPSK" w:eastAsia="Cordia New" w:hAnsi="TH SarabunPSK" w:cs="TH SarabunPSK"/>
          <w:sz w:val="32"/>
          <w:szCs w:val="32"/>
          <w:cs/>
        </w:rPr>
        <w:t>(แผนแม่บทแร่ ฉบับที่ 2) ตามที่กระทรวงทรัพยากรธรรมชาติและสิ่งแวดล้อม (ทส.) เสนอ</w:t>
      </w:r>
      <w:r w:rsidR="00502554" w:rsidRPr="007F0A0C">
        <w:rPr>
          <w:rFonts w:ascii="TH SarabunPSK" w:eastAsia="Cordia New" w:hAnsi="TH SarabunPSK" w:cs="TH SarabunPSK"/>
          <w:sz w:val="32"/>
          <w:szCs w:val="32"/>
          <w:cs/>
        </w:rPr>
        <w:t xml:space="preserve"> โดยให้มีผลตั้งแต่วันที่คณะรัฐมนตรีมีมติเป็นต้นไป</w:t>
      </w:r>
      <w:r w:rsidR="00941101" w:rsidRPr="007F0A0C">
        <w:rPr>
          <w:rFonts w:ascii="TH SarabunPSK" w:eastAsia="Cordia New" w:hAnsi="TH SarabunPSK" w:cs="TH SarabunPSK"/>
          <w:sz w:val="32"/>
          <w:szCs w:val="32"/>
          <w:cs/>
        </w:rPr>
        <w:t xml:space="preserve"> และให้ขยายการบังคับใช้แผนแม่บทแร่</w:t>
      </w:r>
      <w:r w:rsidR="00502554" w:rsidRPr="007F0A0C">
        <w:rPr>
          <w:rFonts w:ascii="TH SarabunPSK" w:eastAsia="Cordia New" w:hAnsi="TH SarabunPSK" w:cs="TH SarabunPSK"/>
          <w:sz w:val="32"/>
          <w:szCs w:val="32"/>
          <w:cs/>
        </w:rPr>
        <w:t xml:space="preserve"> ฉบับที่ 1 จากวันที่ 31 ธันวาคม 2565 เป็นวันที่ 16 มกราคม 2566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347106" w:rsidRPr="00347106" w:rsidRDefault="00347106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47106">
        <w:rPr>
          <w:rFonts w:ascii="TH SarabunPSK" w:eastAsia="Cordia New" w:hAnsi="TH SarabunPSK" w:cs="TH SarabunPSK"/>
          <w:sz w:val="32"/>
          <w:szCs w:val="32"/>
        </w:rPr>
        <w:tab/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347106" w:rsidRPr="00347106" w:rsidRDefault="00347106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34710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ab/>
        <w:t>กระทรวงทรัพยากรธรรมชาติและสิ่งแวดล้อม (ทส.) เสนอคณะรัฐมนตรีพิจารณา</w:t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ให้ความเห็นชอบ (ร่าง) แผนแม่บทการบริหารจัดการแร่ ฉบับที่ 2 (พ.ศ. 2566-2570)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 xml:space="preserve"> (แผนแม่บทแร่ ฉบับที่ 2) ซึ่งมีวัตถุประสงค์เพื่อดำเนินการให้เป็นไปตามยุทธศาสตร์การบริหารจัดการแร่ </w:t>
      </w:r>
      <w:r w:rsidRPr="00347106">
        <w:rPr>
          <w:rFonts w:ascii="TH SarabunPSK" w:eastAsia="Cordia New" w:hAnsi="TH SarabunPSK" w:cs="TH SarabunPSK"/>
          <w:sz w:val="32"/>
          <w:szCs w:val="32"/>
        </w:rPr>
        <w:t>20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 xml:space="preserve"> ปี (พ.ศ. </w:t>
      </w:r>
      <w:r w:rsidRPr="00347106">
        <w:rPr>
          <w:rFonts w:ascii="TH SarabunPSK" w:eastAsia="Cordia New" w:hAnsi="TH SarabunPSK" w:cs="TH SarabunPSK"/>
          <w:sz w:val="32"/>
          <w:szCs w:val="32"/>
        </w:rPr>
        <w:t>2561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347106">
        <w:rPr>
          <w:rFonts w:ascii="TH SarabunPSK" w:eastAsia="Cordia New" w:hAnsi="TH SarabunPSK" w:cs="TH SarabunPSK"/>
          <w:sz w:val="32"/>
          <w:szCs w:val="32"/>
        </w:rPr>
        <w:t>2580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 xml:space="preserve">) (ยุทธศาสตร์แร่) ต่อจาก    แผนแม่บทการบริหารจัดการแร่ พ.ศ. </w:t>
      </w:r>
      <w:r w:rsidRPr="00347106">
        <w:rPr>
          <w:rFonts w:ascii="TH SarabunPSK" w:eastAsia="Cordia New" w:hAnsi="TH SarabunPSK" w:cs="TH SarabunPSK"/>
          <w:sz w:val="32"/>
          <w:szCs w:val="32"/>
        </w:rPr>
        <w:t>2560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347106">
        <w:rPr>
          <w:rFonts w:ascii="TH SarabunPSK" w:eastAsia="Cordia New" w:hAnsi="TH SarabunPSK" w:cs="TH SarabunPSK"/>
          <w:sz w:val="32"/>
          <w:szCs w:val="32"/>
        </w:rPr>
        <w:t>2564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 xml:space="preserve"> (แผนแม่บทแร่ ฉบับที่ </w:t>
      </w:r>
      <w:r w:rsidRPr="00347106">
        <w:rPr>
          <w:rFonts w:ascii="TH SarabunPSK" w:eastAsia="Cordia New" w:hAnsi="TH SarabunPSK" w:cs="TH SarabunPSK"/>
          <w:sz w:val="32"/>
          <w:szCs w:val="32"/>
        </w:rPr>
        <w:t>1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 xml:space="preserve">) ที่สิ้นสุดในปี </w:t>
      </w:r>
      <w:r w:rsidRPr="00347106">
        <w:rPr>
          <w:rFonts w:ascii="TH SarabunPSK" w:eastAsia="Cordia New" w:hAnsi="TH SarabunPSK" w:cs="TH SarabunPSK"/>
          <w:sz w:val="32"/>
          <w:szCs w:val="32"/>
        </w:rPr>
        <w:t xml:space="preserve">2565  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>และมีเป้าหมาย</w:t>
      </w:r>
      <w:r w:rsidR="00260D2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>เพื่อ</w:t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สร้างบัญชีทรัพยากรแร่ที่สมบูรณ์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>เพื่อเป็นข้อมูลในการกำหนดนโยบายรวมทั้งเพื่อ</w:t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พัฒนากลไกการกำกับ ดูแล และอำนวยความสะดวก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 xml:space="preserve">เกี่ยวข้องกับการใช้ประโยชน์จากแร่ เช่น ระบบการอนุมัติอนุญาตเกี่ยวกับกิจกรรมเหมืองแร่ 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lastRenderedPageBreak/>
        <w:t>ตลอดจนมุ่ง</w:t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สร้างความรู้ความรู้ความเข้าใจที่ถูกต้องเกี่ยวกับการบริหารจัดการแร่ของประเทศต่อประชาชน</w:t>
      </w:r>
      <w:r w:rsidR="00260D2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โดยร่างแผนแม่บทแร่ ฉบับที่ 2 ได้กำหนดแนวทางการพัฒนาไว้ 4 ด้าน 10 เป้าประสงค์ 18 ตัวชี้วัด 29 กิจกรรมหลัก และมีหน่วยงานขับเคลื่อนประมาณ 35 หน่วยงาน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 xml:space="preserve"> ซึ่งคณะกรรมการนโยบายบริหารจัดการแร่แห่งชาติ (คนร.) </w:t>
      </w:r>
    </w:p>
    <w:p w:rsidR="00347106" w:rsidRPr="00347106" w:rsidRDefault="00347106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47106">
        <w:rPr>
          <w:rFonts w:ascii="TH SarabunPSK" w:eastAsia="Cordia New" w:hAnsi="TH SarabunPSK" w:cs="TH SarabunPSK"/>
          <w:sz w:val="32"/>
          <w:szCs w:val="32"/>
          <w:cs/>
        </w:rPr>
        <w:t xml:space="preserve">และสภาพัฒนาการเศรษฐกิจและสังคมแห่งชาติได้เห็นชอบร่างแผนแม่บทแร่ ฉบับที่ 2  เรียบร้อยแล้ว ทั้งนี้ </w:t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ร่างแผนแม่บทแเร่ ฉบับที่ 2 มีสาระสำคัญใกล้เคียงกับแผนแม่บทแร่ ฉบับที่ 1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 xml:space="preserve"> ทั้งประเด็นการจัดทำบัญชีทรัพยากรแร่ </w:t>
      </w:r>
      <w:r w:rsidR="00260D2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 xml:space="preserve">การสำรวจพื้นที่ศักยภาพแร่ การพัฒนากลไกกำกับ ดูแล อนุมัติ อนุญาตต่าง ๆ การจัดทำระบบข้อมูลและสารสนเทศที่เกี่ยวข้องตลอดจนการส่งเสริมความเข้าใจและการมีส่วนร่วมของประชาชนในกระบวนการต่าง ๆ เกี่ยวกับเหมืองแร่ ซึ่งเป็นการดำเนินการและกำหนดตัวชี้วัดที่ต่อเนื่องจากแผนแม่บทแร่ ฉบับที่ 1 </w:t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โดยได้เพิ่มเติมรายละเอียด </w:t>
      </w:r>
      <w:r w:rsidR="00260D2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</w:t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และการต่อยอด หรือปรับปรุงเนื้อหาของแผนให้มีความเหมาะสมยิ่งขึ้น ส่วนเนื้อหาสำคัญที่มีการเพิ่มเติมจากแผนแม่บทแร่ ฉบับที่ </w:t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เช่น การดำเนินการเรื่องเศรษฐกิจหมุนเวียนและ </w:t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</w:rPr>
        <w:t>BCG</w:t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ในการทำเหมือง การส่งเสริม</w:t>
      </w:r>
      <w:r w:rsidR="00260D2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</w:t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การลงทุนสำหรับการสำรวจแหล่งแร่และอุตสาหกรรมต่อเนื่อง 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 xml:space="preserve">สรุปดังนี้ </w:t>
      </w:r>
    </w:p>
    <w:tbl>
      <w:tblPr>
        <w:tblStyle w:val="TableGrid8"/>
        <w:tblW w:w="0" w:type="auto"/>
        <w:tblLayout w:type="fixed"/>
        <w:tblLook w:val="04A0" w:firstRow="1" w:lastRow="0" w:firstColumn="1" w:lastColumn="0" w:noHBand="0" w:noVBand="1"/>
      </w:tblPr>
      <w:tblGrid>
        <w:gridCol w:w="2179"/>
        <w:gridCol w:w="1615"/>
        <w:gridCol w:w="2551"/>
        <w:gridCol w:w="3475"/>
      </w:tblGrid>
      <w:tr w:rsidR="00347106" w:rsidRPr="00347106" w:rsidTr="007F0A0C">
        <w:tc>
          <w:tcPr>
            <w:tcW w:w="2179" w:type="dxa"/>
            <w:vMerge w:val="restart"/>
          </w:tcPr>
          <w:p w:rsidR="00347106" w:rsidRPr="00347106" w:rsidRDefault="00347106" w:rsidP="007F0A0C">
            <w:pPr>
              <w:suppressLineNumbers/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347106" w:rsidRPr="00347106" w:rsidRDefault="00347106" w:rsidP="007F0A0C">
            <w:pPr>
              <w:suppressLineNumbers/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166" w:type="dxa"/>
            <w:gridSpan w:val="2"/>
          </w:tcPr>
          <w:p w:rsidR="00347106" w:rsidRPr="00347106" w:rsidRDefault="00347106" w:rsidP="007F0A0C">
            <w:pPr>
              <w:suppressLineNumbers/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3475" w:type="dxa"/>
            <w:vMerge w:val="restart"/>
          </w:tcPr>
          <w:p w:rsidR="00347106" w:rsidRPr="00347106" w:rsidRDefault="00347106" w:rsidP="007F0A0C">
            <w:pPr>
              <w:suppressLineNumbers/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347106" w:rsidRPr="00347106" w:rsidRDefault="00347106" w:rsidP="007F0A0C">
            <w:pPr>
              <w:suppressLineNumbers/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เหตุผลในการปรับปรุง</w:t>
            </w:r>
          </w:p>
        </w:tc>
      </w:tr>
      <w:tr w:rsidR="00347106" w:rsidRPr="00347106" w:rsidTr="007F0A0C">
        <w:tc>
          <w:tcPr>
            <w:tcW w:w="2179" w:type="dxa"/>
            <w:vMerge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5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แผนแม่บทแร่ ฉบับที่ 1</w:t>
            </w:r>
          </w:p>
        </w:tc>
        <w:tc>
          <w:tcPr>
            <w:tcW w:w="2551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ร่างแผนแม่บทแร่ 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ฉบับที่ 2</w:t>
            </w:r>
          </w:p>
        </w:tc>
        <w:tc>
          <w:tcPr>
            <w:tcW w:w="3475" w:type="dxa"/>
            <w:vMerge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47106" w:rsidRPr="00347106" w:rsidTr="007F0A0C">
        <w:tc>
          <w:tcPr>
            <w:tcW w:w="9820" w:type="dxa"/>
            <w:gridSpan w:val="4"/>
          </w:tcPr>
          <w:p w:rsidR="00347106" w:rsidRPr="00347106" w:rsidRDefault="00347106" w:rsidP="007F0A0C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การเพิ่มประเด็นใหม่</w:t>
            </w:r>
          </w:p>
        </w:tc>
      </w:tr>
      <w:tr w:rsidR="00347106" w:rsidRPr="00347106" w:rsidTr="007F0A0C">
        <w:tc>
          <w:tcPr>
            <w:tcW w:w="2179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เศรษฐกิจหมุนเวียน</w:t>
            </w:r>
          </w:p>
        </w:tc>
        <w:tc>
          <w:tcPr>
            <w:tcW w:w="1615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ไม่มีเนื้อหาในประเด็นดังกล่าว</w:t>
            </w:r>
          </w:p>
        </w:tc>
        <w:tc>
          <w:tcPr>
            <w:tcW w:w="2551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กำหนดในเป้าประสงค์และตัวชี้วัดตามแนวทางการพัฒนาด้านที่ 3</w:t>
            </w:r>
          </w:p>
        </w:tc>
        <w:tc>
          <w:tcPr>
            <w:tcW w:w="3475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เป็นไปตามแนวทาง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การพัฒนาของ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ยุทธศาสตร์แร่</w:t>
            </w:r>
          </w:p>
        </w:tc>
      </w:tr>
      <w:tr w:rsidR="00347106" w:rsidRPr="00347106" w:rsidTr="007F0A0C">
        <w:tc>
          <w:tcPr>
            <w:tcW w:w="2179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การส่งเสริม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การลงทุนสำหรับ                   การสำรวจแหล่งแร่                 และอุตสาหกรรมต่อเนื่อง</w:t>
            </w:r>
          </w:p>
        </w:tc>
        <w:tc>
          <w:tcPr>
            <w:tcW w:w="1615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ไม่มีเนื้อหาในประเด็นดังกล่าว</w:t>
            </w:r>
          </w:p>
        </w:tc>
        <w:tc>
          <w:tcPr>
            <w:tcW w:w="2551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กำหนดในกิจกรรมหลักของตัวชี้วัดที่ 3 จำนวนนโยบายบริหารจัดการแร่รายชนิดในแนวทางการพัฒนาด้านที่ 1 </w:t>
            </w:r>
          </w:p>
        </w:tc>
        <w:tc>
          <w:tcPr>
            <w:tcW w:w="3475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เพิ่มเนื้อหาตามมติคณะรัฐมนตรี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เมื่อวันที่ 2 สิงหาคม 2565 </w:t>
            </w:r>
          </w:p>
        </w:tc>
      </w:tr>
      <w:tr w:rsidR="00347106" w:rsidRPr="00347106" w:rsidTr="007F0A0C">
        <w:tc>
          <w:tcPr>
            <w:tcW w:w="9820" w:type="dxa"/>
            <w:gridSpan w:val="4"/>
          </w:tcPr>
          <w:p w:rsidR="00347106" w:rsidRPr="00347106" w:rsidRDefault="00347106" w:rsidP="007F0A0C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การเพิ่มเติมรายละเอียด </w:t>
            </w:r>
          </w:p>
        </w:tc>
      </w:tr>
      <w:tr w:rsidR="00347106" w:rsidRPr="00347106" w:rsidTr="007F0A0C">
        <w:tc>
          <w:tcPr>
            <w:tcW w:w="2179" w:type="dxa"/>
          </w:tcPr>
          <w:p w:rsidR="00347106" w:rsidRPr="00347106" w:rsidRDefault="00347106" w:rsidP="007F0A0C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รายละเอียดของตัวชี้วัด</w:t>
            </w:r>
          </w:p>
        </w:tc>
        <w:tc>
          <w:tcPr>
            <w:tcW w:w="1615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กำหนดเฉพาะตัวชี้วัดและค่าเป้าหมายที่ไม่ชัดเจน (เช่น เพิ่มขึ้น ลดลง)</w:t>
            </w:r>
          </w:p>
        </w:tc>
        <w:tc>
          <w:tcPr>
            <w:tcW w:w="2551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กำหนดคำอธิบายตัวชี้วัดวิธีประเมินตัวชี้วัด  และค่าเป้าหมายของตัวชี้วัดในแต่ละปีเป็นค่าร้อยละหรือจำนวน</w:t>
            </w:r>
          </w:p>
        </w:tc>
        <w:tc>
          <w:tcPr>
            <w:tcW w:w="3475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นำปัญหาอุปสรรคจาก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การขับเคลื่อนแผนแม่บทแร่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ฉบับที่ 1 มาปรับปรุง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ให้แผนแม่บทแร่ ฉบับที่ 2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มีความชัดเจนมากยิ่งขึ้น</w:t>
            </w:r>
          </w:p>
        </w:tc>
      </w:tr>
      <w:tr w:rsidR="00347106" w:rsidRPr="00347106" w:rsidTr="007F0A0C">
        <w:tc>
          <w:tcPr>
            <w:tcW w:w="2179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กิจกรรมหลักและหน่วยงานที่เกี่ยวข้อง</w:t>
            </w:r>
          </w:p>
        </w:tc>
        <w:tc>
          <w:tcPr>
            <w:tcW w:w="1615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กำหนดแนวทาง/มาตรการและหน่วยงานที่เกี่ยวข้องในระดับเป้าหมาย</w:t>
            </w:r>
          </w:p>
        </w:tc>
        <w:tc>
          <w:tcPr>
            <w:tcW w:w="2551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กำหนดกิจกรรมหลักหน่วยงานขับเคลื่อนหลักและหน่วยงานสนับสนุนในระดับตัวชี้วัด</w:t>
            </w:r>
          </w:p>
        </w:tc>
        <w:tc>
          <w:tcPr>
            <w:tcW w:w="3475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นำปัญหาอุปสรรคจาก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การขับเคลื่อนแผนแม่บทแร่ 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ฉบับที่ 1 มาปรับปรุง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ให้แผนแม่บทแร่ ฉบับที่ 2 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มีความชัดเจนมากยิ่งขึ้น </w:t>
            </w:r>
          </w:p>
        </w:tc>
      </w:tr>
      <w:tr w:rsidR="00347106" w:rsidRPr="00347106" w:rsidTr="007F0A0C">
        <w:tc>
          <w:tcPr>
            <w:tcW w:w="9820" w:type="dxa"/>
            <w:gridSpan w:val="4"/>
          </w:tcPr>
          <w:p w:rsidR="00347106" w:rsidRPr="00347106" w:rsidRDefault="00347106" w:rsidP="007F0A0C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34710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การต่อยอด หรือปรับปรุงเนื้อหา </w:t>
            </w:r>
          </w:p>
        </w:tc>
      </w:tr>
      <w:tr w:rsidR="00347106" w:rsidRPr="00347106" w:rsidTr="007F0A0C">
        <w:tc>
          <w:tcPr>
            <w:tcW w:w="2179" w:type="dxa"/>
          </w:tcPr>
          <w:p w:rsidR="00347106" w:rsidRPr="00347106" w:rsidRDefault="00347106" w:rsidP="007F0A0C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วิธีปฏิบัติที่เป็นเลิศ (</w:t>
            </w:r>
            <w:r w:rsidRPr="00347106">
              <w:rPr>
                <w:rFonts w:ascii="TH SarabunPSK" w:eastAsia="Cordia New" w:hAnsi="TH SarabunPSK" w:cs="TH SarabunPSK"/>
                <w:sz w:val="32"/>
                <w:szCs w:val="32"/>
              </w:rPr>
              <w:t>Best Practice</w:t>
            </w: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15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ไม่มีเนื้อหาในประเด็นดังกล่าว</w:t>
            </w:r>
          </w:p>
        </w:tc>
        <w:tc>
          <w:tcPr>
            <w:tcW w:w="2551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กำหนดตัวชี้วัดจากวิธี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ปฏิบัติที่เป็นเลิศ  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347106">
              <w:rPr>
                <w:rFonts w:ascii="TH SarabunPSK" w:eastAsia="Cordia New" w:hAnsi="TH SarabunPSK" w:cs="TH SarabunPSK"/>
                <w:sz w:val="32"/>
                <w:szCs w:val="32"/>
              </w:rPr>
              <w:t>Best Practice</w:t>
            </w: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475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เป็นการดำเนินการ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ต่อเนื่องจากกลไก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ที่เกิดขึ้นตามแผนแม่บทแร่ 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ฉบับที่ 1 เช่น กองทุน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เฝ้าระวังสุขภาพ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สำหรับโครงการเหมืองแร่</w:t>
            </w:r>
          </w:p>
        </w:tc>
      </w:tr>
      <w:tr w:rsidR="00347106" w:rsidRPr="00347106" w:rsidTr="007F0A0C">
        <w:tc>
          <w:tcPr>
            <w:tcW w:w="2179" w:type="dxa"/>
          </w:tcPr>
          <w:p w:rsidR="00347106" w:rsidRPr="00347106" w:rsidRDefault="00347106" w:rsidP="007F0A0C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การกำหนดเขตแหล่งแร่เพื่อการทำเหมือง</w:t>
            </w:r>
          </w:p>
        </w:tc>
        <w:tc>
          <w:tcPr>
            <w:tcW w:w="1615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กำหนดในเป้าหมายของยุทธศาสตร์ที่ 1 </w:t>
            </w: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การจำแนกเขตแหล่งแร่</w:t>
            </w:r>
          </w:p>
        </w:tc>
        <w:tc>
          <w:tcPr>
            <w:tcW w:w="2551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ตัดออกจากตัวชี้วัด</w:t>
            </w:r>
          </w:p>
        </w:tc>
        <w:tc>
          <w:tcPr>
            <w:tcW w:w="3475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มีการกำหนด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เขตแหล่งแร่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เพื่อการทำเหมือง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 xml:space="preserve">เรียบร้อยแล้ว </w:t>
            </w:r>
          </w:p>
        </w:tc>
      </w:tr>
    </w:tbl>
    <w:p w:rsidR="00347106" w:rsidRPr="00347106" w:rsidRDefault="00347106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:rsidR="0096509E" w:rsidRPr="0096509E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15. </w:t>
      </w:r>
      <w:r w:rsidR="0096509E"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(ร่าง) แผนแม่บทภายใต้ยุทธศาสตร์ชาติ (พ.ศ. 2566 - 2580) (ฉบับแก้ไขเพิ่มเติม)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คณะรัฐมนตรีมีมติเห็นชอบ (ร่าง) แผนแม่บทภายใต้ยุทธศาสตร์ชาติ (พ.ศ. 2566 - 2580) </w:t>
      </w:r>
      <w:r w:rsidR="00C5250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(ฉบับแก้ไขเพิ่มเติม) (แผนแม่บทฯ ฉบับแก้ไขเพิ่มเติม) และการมอบหมายหน่วยงานเจ้าภาพ</w:t>
      </w:r>
      <w:r w:rsidRPr="0096509E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1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 ตามที่สำนักงานสภาพัฒนาการเศรษฐกิจและสังคมแห่งชาติ (สศช.) ในฐานะสำนักงานเลขานุการคณะกรรมการยุทธศาสตร์ชาติ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 และคณะกรรมการจัดทำยุทธศาสตร์ชาติเสนอ 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สศช. ในฐานะสำนักงานเลขานุการคณะกรรมการยุทธศาสตร์ชาติและคณะกรรมการจัดทำยุทธศาสตร์ชาติ รายงานว่า 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>1. ภายหลังจากที่คณะรัฐมนตรีมีมติ (วันที่ 10 พฤษภาคม 2565) เห็นชอบแนวทาง หลักการ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และการดำเนินการปรับแผนแม่บทฯ สศช. ได้จัดทำ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(ร่าง) แผนแม่บทฯ ฉบับแก้ไขเพิ่มเติม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vertAlign w:val="superscript"/>
          <w:cs/>
        </w:rPr>
        <w:t>2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และจัดให้มีการรับฟังความคิดเห็น (ร่าง) แผนแม่บทฯ ฉบับแก้ไขเพิ่มเติมในระหว่างวันที่ 27 กรกฎาคม 2565 - 3 สิงหาคม 2565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ผ่านรูปแบบออนไลน์ เพื่อให้ทุกภาคส่วนที่เกี่ยวข้องเข้ามามีส่วนร่วมในการแสดงความคิดเห็น ข้อเสนอแนะ เพื่อนำไปสู่การปรับปรุง (ร่าง) แผนแม่บทฯ ฉบับแก้ไขเพิ่มเติม ให้มีความครบถ้วน สมบูรณ์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(ร่าง) แผนแม่บทฯ ฉบับแก้ไขเพิ่มเติม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(ร่าง) แผนแม่บทฯ ฉบับแก้ไขเพิ่มเติม ยังคงมี 23 ประเด็นเดิม (มติคณะรัฐมนตรีวันที่ 12 มีนาคม 2562) โดยทั้ง 23 ประเด็น มีองค์ประกอบหลัก 2 ส่วน ได้แก่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(1) ประเด็นของแผนแม่บทฯ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6509E">
        <w:rPr>
          <w:rFonts w:ascii="TH SarabunPSK" w:eastAsia="Calibri" w:hAnsi="TH SarabunPSK" w:cs="TH SarabunPSK"/>
          <w:sz w:val="32"/>
          <w:szCs w:val="32"/>
        </w:rPr>
        <w:t>Y2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) ประกอบด้วย เป้าหมายระดับประเด็น ตัวชี้วัดของเป้าหมายระดับประเด็น และค่าเป้าหมายระดับประเด็น เพื่อใช้ติดตามประเมินผลการดำเนินงานในระดับผลลัพธ์ขั้นกลาง และ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(2) แผนย่อยของแผนแม่บทฯ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6509E">
        <w:rPr>
          <w:rFonts w:ascii="TH SarabunPSK" w:eastAsia="Calibri" w:hAnsi="TH SarabunPSK" w:cs="TH SarabunPSK"/>
          <w:sz w:val="32"/>
          <w:szCs w:val="32"/>
        </w:rPr>
        <w:t>Y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1) ประกอบด้วยเป้าหมายแผนแม่บทย่อย ตัวชี้วัดของเป้าหมายแผนแม่บทย่อย ค่าเป้าหมายแผนแม่บทย่อย เพื่อใช้ติดตามประเมินผลการดำเนินงานในระดับผลลัพธ์ขั้นต้น รวมทั้งได้กำหนดแนวทางการพัฒนาในแต่ละแผนย่อยของแผนแม่บทฯ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เพื่อเป็นแนวทางในการขับเคลื่อนการดำเนินงานให้บรรลุตามเป้าหมายแผนแม่บทย่อย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ทั้งนี้ (ร่าง) แผนแม่บทฯ ฉบับแก้ไขเพิ่มเติม ได้ปรับรายการต่าง ๆ สรุปได้ดังนี้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2.1.1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ปรับเป้าหมายแผนแม่บทย่อย (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</w:rPr>
        <w:t>Y1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เพื่อให้เกิดความชัดเจนและมีความครอบคลุมกับประเด็นการพัฒนา รวมทั้งลดความซ้ำซ้อนกับเป้าหมายระดับประเด็นของแผนแม่บทฯ ทั้งนี้ ในกรณีที่มีการยุบ</w:t>
      </w:r>
      <w:r w:rsidRPr="00A85D72">
        <w:rPr>
          <w:rFonts w:ascii="TH SarabunPSK" w:eastAsia="Calibri" w:hAnsi="TH SarabunPSK" w:cs="TH SarabunPSK"/>
          <w:spacing w:val="-2"/>
          <w:sz w:val="32"/>
          <w:szCs w:val="32"/>
          <w:cs/>
        </w:rPr>
        <w:t>รวม เพิ่มเติม หรือยกเลิกเป้าหมายแผนแม่บทย่อยฯ จำเป็นต้องมีการพิจารณามอบหมายหน่วยงานเจ้าภาพขับเคลื่อนฯ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 โดยยึดหลักการตามมติคณะรัฐมนตรีเมื่อวันที่ 3 ธันวาคม 2562 ด้วย (ตามข้อ 3)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 xml:space="preserve">2.1.2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ปรับตัวชี้วัดทั้งในส่วนของประเด็นของแผนแม่บทฯ (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</w:rPr>
        <w:t>Y2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) และแผนย่อยของแผนแม่บทฯ (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</w:rPr>
        <w:t>Y1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เพื่อให้สามารถสะท้อนเป้าหมายได้อย่างชัดเจน ครอบคลุม และเป็นรูปธรรมมากขึ้น ซึ่งมีตัวชี้วัดที่ทำหน้าที่ในการ “ชี้” และ “วัด” ความก้าวหน้าการดำเนินการตามเป้าหมายแผนแม่บทฯ 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 xml:space="preserve">2.1.3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ปรับค่าเป้าหมายทั้งในส่วนของประเด็นของแผนแม่บทฯ (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</w:rPr>
        <w:t>Y2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) และแผนย่อยของแผนแม่บทฯ (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</w:rPr>
        <w:t>Y1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เพื่อให้มีความท้าทายมากขึ้นและสอดคล้องกับบริบทของสถานการณ์ในปัจจุบันและปรับคำหรือกำหนดคำนิยามของค่าเป้าหมายให้มีความชัดเจน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 xml:space="preserve">2.1.4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ปรับแนวทางการพัฒนา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เพื่อให้มีความครอบคลุม และสอดคล้องกับห่วงโซ่คุณค่าของประเทศไทย (</w:t>
      </w:r>
      <w:r w:rsidRPr="0096509E">
        <w:rPr>
          <w:rFonts w:ascii="TH SarabunPSK" w:eastAsia="Calibri" w:hAnsi="TH SarabunPSK" w:cs="TH SarabunPSK"/>
          <w:sz w:val="32"/>
          <w:szCs w:val="32"/>
        </w:rPr>
        <w:t>Final Value Chain Thailand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96509E">
        <w:rPr>
          <w:rFonts w:ascii="TH SarabunPSK" w:eastAsia="Calibri" w:hAnsi="TH SarabunPSK" w:cs="TH SarabunPSK"/>
          <w:sz w:val="32"/>
          <w:szCs w:val="32"/>
        </w:rPr>
        <w:t>FVCT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)</w:t>
      </w:r>
    </w:p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3394"/>
        <w:gridCol w:w="1134"/>
        <w:gridCol w:w="993"/>
        <w:gridCol w:w="1367"/>
        <w:gridCol w:w="901"/>
        <w:gridCol w:w="850"/>
        <w:gridCol w:w="955"/>
      </w:tblGrid>
      <w:tr w:rsidR="0096509E" w:rsidRPr="0096509E" w:rsidTr="007F0A0C">
        <w:tc>
          <w:tcPr>
            <w:tcW w:w="3397" w:type="dxa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รายการ</w:t>
            </w:r>
          </w:p>
        </w:tc>
        <w:tc>
          <w:tcPr>
            <w:tcW w:w="1134" w:type="dxa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จำนวน</w:t>
            </w:r>
          </w:p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ตามเดิม</w:t>
            </w:r>
          </w:p>
        </w:tc>
        <w:tc>
          <w:tcPr>
            <w:tcW w:w="993" w:type="dxa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คงเดิม</w:t>
            </w:r>
          </w:p>
        </w:tc>
        <w:tc>
          <w:tcPr>
            <w:tcW w:w="1367" w:type="dxa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ปรับเปลี่ยน/</w:t>
            </w:r>
          </w:p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ปรับถ้อยคำ</w:t>
            </w:r>
          </w:p>
        </w:tc>
        <w:tc>
          <w:tcPr>
            <w:tcW w:w="901" w:type="dxa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เพิ่มเติม</w:t>
            </w:r>
          </w:p>
        </w:tc>
        <w:tc>
          <w:tcPr>
            <w:tcW w:w="850" w:type="dxa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ยกเลิก</w:t>
            </w:r>
          </w:p>
        </w:tc>
        <w:tc>
          <w:tcPr>
            <w:tcW w:w="955" w:type="dxa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จำนวน</w:t>
            </w:r>
          </w:p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ใหม่</w:t>
            </w:r>
          </w:p>
        </w:tc>
      </w:tr>
      <w:tr w:rsidR="0096509E" w:rsidRPr="0096509E" w:rsidTr="007F0A0C">
        <w:tc>
          <w:tcPr>
            <w:tcW w:w="9597" w:type="dxa"/>
            <w:gridSpan w:val="7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ประเด็นของแผนแม่บทฯ (</w:t>
            </w:r>
            <w:r w:rsidRPr="0096509E">
              <w:rPr>
                <w:rFonts w:eastAsia="Calibri"/>
                <w:b/>
                <w:bCs/>
              </w:rPr>
              <w:t>Y2</w:t>
            </w:r>
            <w:r w:rsidRPr="0096509E">
              <w:rPr>
                <w:rFonts w:eastAsia="Calibri"/>
                <w:b/>
                <w:bCs/>
                <w:cs/>
              </w:rPr>
              <w:t>)</w:t>
            </w:r>
          </w:p>
        </w:tc>
      </w:tr>
      <w:tr w:rsidR="0096509E" w:rsidRPr="0096509E" w:rsidTr="007F0A0C">
        <w:tc>
          <w:tcPr>
            <w:tcW w:w="3397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เป้าหมายระดับประเด็น</w:t>
            </w:r>
          </w:p>
        </w:tc>
        <w:tc>
          <w:tcPr>
            <w:tcW w:w="1134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37</w:t>
            </w:r>
          </w:p>
        </w:tc>
        <w:tc>
          <w:tcPr>
            <w:tcW w:w="993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37</w:t>
            </w:r>
          </w:p>
        </w:tc>
        <w:tc>
          <w:tcPr>
            <w:tcW w:w="1367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-</w:t>
            </w:r>
          </w:p>
        </w:tc>
        <w:tc>
          <w:tcPr>
            <w:tcW w:w="901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-</w:t>
            </w:r>
          </w:p>
        </w:tc>
        <w:tc>
          <w:tcPr>
            <w:tcW w:w="850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-</w:t>
            </w:r>
          </w:p>
        </w:tc>
        <w:tc>
          <w:tcPr>
            <w:tcW w:w="955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37</w:t>
            </w:r>
          </w:p>
        </w:tc>
      </w:tr>
      <w:tr w:rsidR="0096509E" w:rsidRPr="0096509E" w:rsidTr="007F0A0C">
        <w:tc>
          <w:tcPr>
            <w:tcW w:w="3397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ตัวชี้วัดของเป้าหมายระดับประเด็น</w:t>
            </w:r>
          </w:p>
        </w:tc>
        <w:tc>
          <w:tcPr>
            <w:tcW w:w="1134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39</w:t>
            </w:r>
          </w:p>
        </w:tc>
        <w:tc>
          <w:tcPr>
            <w:tcW w:w="993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23</w:t>
            </w:r>
          </w:p>
        </w:tc>
        <w:tc>
          <w:tcPr>
            <w:tcW w:w="1367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14</w:t>
            </w:r>
          </w:p>
        </w:tc>
        <w:tc>
          <w:tcPr>
            <w:tcW w:w="901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4</w:t>
            </w:r>
          </w:p>
        </w:tc>
        <w:tc>
          <w:tcPr>
            <w:tcW w:w="850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2</w:t>
            </w:r>
          </w:p>
        </w:tc>
        <w:tc>
          <w:tcPr>
            <w:tcW w:w="955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41</w:t>
            </w:r>
          </w:p>
        </w:tc>
      </w:tr>
      <w:tr w:rsidR="0096509E" w:rsidRPr="0096509E" w:rsidTr="007F0A0C">
        <w:tc>
          <w:tcPr>
            <w:tcW w:w="3397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ค่าเป้าหมายระดับประเด็น</w:t>
            </w:r>
          </w:p>
        </w:tc>
        <w:tc>
          <w:tcPr>
            <w:tcW w:w="1134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39</w:t>
            </w:r>
          </w:p>
        </w:tc>
        <w:tc>
          <w:tcPr>
            <w:tcW w:w="993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18</w:t>
            </w:r>
          </w:p>
        </w:tc>
        <w:tc>
          <w:tcPr>
            <w:tcW w:w="1367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19</w:t>
            </w:r>
          </w:p>
        </w:tc>
        <w:tc>
          <w:tcPr>
            <w:tcW w:w="901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4</w:t>
            </w:r>
          </w:p>
        </w:tc>
        <w:tc>
          <w:tcPr>
            <w:tcW w:w="850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2</w:t>
            </w:r>
          </w:p>
        </w:tc>
        <w:tc>
          <w:tcPr>
            <w:tcW w:w="955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41</w:t>
            </w:r>
          </w:p>
        </w:tc>
      </w:tr>
      <w:tr w:rsidR="0096509E" w:rsidRPr="0096509E" w:rsidTr="007F0A0C">
        <w:tc>
          <w:tcPr>
            <w:tcW w:w="9597" w:type="dxa"/>
            <w:gridSpan w:val="7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แผนย่อย ของแผนแม่บทฯ (</w:t>
            </w:r>
            <w:r w:rsidRPr="0096509E">
              <w:rPr>
                <w:rFonts w:eastAsia="Calibri"/>
                <w:b/>
                <w:bCs/>
              </w:rPr>
              <w:t>Y1</w:t>
            </w:r>
            <w:r w:rsidRPr="0096509E">
              <w:rPr>
                <w:rFonts w:eastAsia="Calibri"/>
                <w:b/>
                <w:bCs/>
                <w:cs/>
              </w:rPr>
              <w:t>)</w:t>
            </w:r>
          </w:p>
        </w:tc>
      </w:tr>
      <w:tr w:rsidR="0096509E" w:rsidRPr="0096509E" w:rsidTr="007F0A0C">
        <w:tc>
          <w:tcPr>
            <w:tcW w:w="3397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เป้าหมายแผนแม่บทย่อย</w:t>
            </w:r>
          </w:p>
        </w:tc>
        <w:tc>
          <w:tcPr>
            <w:tcW w:w="1134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140</w:t>
            </w:r>
          </w:p>
        </w:tc>
        <w:tc>
          <w:tcPr>
            <w:tcW w:w="993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125</w:t>
            </w:r>
          </w:p>
        </w:tc>
        <w:tc>
          <w:tcPr>
            <w:tcW w:w="1367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9</w:t>
            </w:r>
          </w:p>
        </w:tc>
        <w:tc>
          <w:tcPr>
            <w:tcW w:w="901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6</w:t>
            </w:r>
          </w:p>
        </w:tc>
        <w:tc>
          <w:tcPr>
            <w:tcW w:w="850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6</w:t>
            </w:r>
          </w:p>
        </w:tc>
        <w:tc>
          <w:tcPr>
            <w:tcW w:w="955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140</w:t>
            </w:r>
          </w:p>
        </w:tc>
      </w:tr>
      <w:tr w:rsidR="0096509E" w:rsidRPr="0096509E" w:rsidTr="007F0A0C">
        <w:tc>
          <w:tcPr>
            <w:tcW w:w="3397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lastRenderedPageBreak/>
              <w:t>ตัวชี้วัดของเป้าหมายแผนแม่บทย่อย</w:t>
            </w:r>
          </w:p>
        </w:tc>
        <w:tc>
          <w:tcPr>
            <w:tcW w:w="1134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171</w:t>
            </w:r>
          </w:p>
        </w:tc>
        <w:tc>
          <w:tcPr>
            <w:tcW w:w="993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66</w:t>
            </w:r>
          </w:p>
        </w:tc>
        <w:tc>
          <w:tcPr>
            <w:tcW w:w="1367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83</w:t>
            </w:r>
          </w:p>
        </w:tc>
        <w:tc>
          <w:tcPr>
            <w:tcW w:w="901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18</w:t>
            </w:r>
          </w:p>
        </w:tc>
        <w:tc>
          <w:tcPr>
            <w:tcW w:w="850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22</w:t>
            </w:r>
          </w:p>
        </w:tc>
        <w:tc>
          <w:tcPr>
            <w:tcW w:w="955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167</w:t>
            </w:r>
          </w:p>
        </w:tc>
      </w:tr>
      <w:tr w:rsidR="0096509E" w:rsidRPr="0096509E" w:rsidTr="007F0A0C">
        <w:tc>
          <w:tcPr>
            <w:tcW w:w="3397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ค่าเป้าหมายแผนแม่บทย่อย</w:t>
            </w:r>
          </w:p>
        </w:tc>
        <w:tc>
          <w:tcPr>
            <w:tcW w:w="1134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166</w:t>
            </w:r>
          </w:p>
        </w:tc>
        <w:tc>
          <w:tcPr>
            <w:tcW w:w="993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50</w:t>
            </w:r>
          </w:p>
        </w:tc>
        <w:tc>
          <w:tcPr>
            <w:tcW w:w="1367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100</w:t>
            </w:r>
          </w:p>
        </w:tc>
        <w:tc>
          <w:tcPr>
            <w:tcW w:w="901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22</w:t>
            </w:r>
          </w:p>
        </w:tc>
        <w:tc>
          <w:tcPr>
            <w:tcW w:w="850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16</w:t>
            </w:r>
          </w:p>
        </w:tc>
        <w:tc>
          <w:tcPr>
            <w:tcW w:w="955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172</w:t>
            </w:r>
          </w:p>
        </w:tc>
      </w:tr>
      <w:tr w:rsidR="0096509E" w:rsidRPr="0096509E" w:rsidTr="007F0A0C">
        <w:tc>
          <w:tcPr>
            <w:tcW w:w="3397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แนวทางการพัฒนา</w:t>
            </w:r>
          </w:p>
        </w:tc>
        <w:tc>
          <w:tcPr>
            <w:tcW w:w="1134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376</w:t>
            </w:r>
          </w:p>
        </w:tc>
        <w:tc>
          <w:tcPr>
            <w:tcW w:w="993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279</w:t>
            </w:r>
          </w:p>
        </w:tc>
        <w:tc>
          <w:tcPr>
            <w:tcW w:w="1367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84</w:t>
            </w:r>
          </w:p>
        </w:tc>
        <w:tc>
          <w:tcPr>
            <w:tcW w:w="901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28</w:t>
            </w:r>
          </w:p>
        </w:tc>
        <w:tc>
          <w:tcPr>
            <w:tcW w:w="850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13</w:t>
            </w:r>
          </w:p>
        </w:tc>
        <w:tc>
          <w:tcPr>
            <w:tcW w:w="955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391</w:t>
            </w:r>
          </w:p>
        </w:tc>
      </w:tr>
    </w:tbl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การมอบหมายหน่วยงานเจ้าภาพขับเคลื่อนฯ 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>สศช. ได้ดำเนินการทบทวนความเหมาะสมของหน่วยงานเจ้าภาพทั้ง 3 ระดับ ตามมติคณะรัฐมนตรี เมื่อวันที่ 3 ธันวาคม 2562 ให้สอดคล้องกับการดำเนินการเพื่อบรรลุเป้าหมาย รวมทั้งการยุบรวมและการเพิ่มเติมเป้าหมาย เพื่อทำหน้าที่ประสานและบูรณาการการดำเนินงานร่วมกับหน่วยงานที่เกี่ยวข้อง ซึ่งจะช่วยให้เกิดการถ่ายระดับเป้าหมายและประเด็นการพัฒนาของยุทธศาสตร์ชาติไปสู่การปฏิบัติอย่างเป็นรูปธรรม สรุปได้ ดังนี้</w:t>
      </w:r>
    </w:p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2688"/>
        <w:gridCol w:w="6906"/>
      </w:tblGrid>
      <w:tr w:rsidR="0096509E" w:rsidRPr="0096509E" w:rsidTr="007F0A0C">
        <w:tc>
          <w:tcPr>
            <w:tcW w:w="2689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ระดับ</w:t>
            </w:r>
          </w:p>
        </w:tc>
        <w:tc>
          <w:tcPr>
            <w:tcW w:w="6908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สาระสำคัญ</w:t>
            </w:r>
          </w:p>
        </w:tc>
      </w:tr>
      <w:tr w:rsidR="0096509E" w:rsidRPr="0096509E" w:rsidTr="007F0A0C">
        <w:tc>
          <w:tcPr>
            <w:tcW w:w="2689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หน่วยงานเจ้าภาพขับเคลื่อน</w:t>
            </w:r>
          </w:p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ประเด็นแผนแม่บทฯ (จ.1)</w:t>
            </w:r>
          </w:p>
        </w:tc>
        <w:tc>
          <w:tcPr>
            <w:tcW w:w="6908" w:type="dxa"/>
          </w:tcPr>
          <w:p w:rsidR="0096509E" w:rsidRPr="0096509E" w:rsidRDefault="0096509E" w:rsidP="007F0A0C">
            <w:pPr>
              <w:spacing w:line="320" w:lineRule="exact"/>
              <w:ind w:left="173" w:hanging="173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cs/>
              </w:rPr>
              <w:t>-</w:t>
            </w:r>
            <w:r w:rsidRPr="0096509E">
              <w:rPr>
                <w:rFonts w:eastAsia="Calibri"/>
                <w:b/>
                <w:bCs/>
                <w:cs/>
              </w:rPr>
              <w:t xml:space="preserve"> </w:t>
            </w:r>
            <w:r w:rsidRPr="0096509E">
              <w:rPr>
                <w:rFonts w:eastAsia="Calibri"/>
                <w:b/>
                <w:bCs/>
                <w:u w:val="single"/>
                <w:cs/>
              </w:rPr>
              <w:t>เปลี่ยนแปลง</w:t>
            </w:r>
            <w:r w:rsidRPr="0096509E">
              <w:rPr>
                <w:rFonts w:eastAsia="Calibri"/>
                <w:b/>
                <w:bCs/>
                <w:cs/>
              </w:rPr>
              <w:t xml:space="preserve"> จำนวน 1 ประเด็นแผนแม่บทฯ ได้แก่ ประเด็น (04) อุตสาหกรรมบริการแห่งอนาคต </w:t>
            </w:r>
            <w:r w:rsidRPr="0096509E">
              <w:rPr>
                <w:rFonts w:eastAsia="Calibri"/>
                <w:u w:val="single"/>
                <w:cs/>
              </w:rPr>
              <w:t>จากเดิม</w:t>
            </w:r>
            <w:r w:rsidRPr="0096509E">
              <w:rPr>
                <w:rFonts w:eastAsia="Calibri"/>
                <w:cs/>
              </w:rPr>
              <w:t xml:space="preserve"> กระทรวงอุตสาหกรรม (อก.) และกระทรวงพาณิชย์ (พณ.) </w:t>
            </w:r>
            <w:r w:rsidRPr="0096509E">
              <w:rPr>
                <w:rFonts w:eastAsia="Calibri"/>
                <w:u w:val="single"/>
                <w:cs/>
              </w:rPr>
              <w:t>เป็น</w:t>
            </w:r>
            <w:r w:rsidRPr="0096509E">
              <w:rPr>
                <w:rFonts w:eastAsia="Calibri"/>
                <w:cs/>
              </w:rPr>
              <w:t xml:space="preserve"> </w:t>
            </w:r>
            <w:r w:rsidRPr="0096509E">
              <w:rPr>
                <w:rFonts w:eastAsia="Calibri"/>
                <w:b/>
                <w:bCs/>
                <w:cs/>
              </w:rPr>
              <w:t>อก.</w:t>
            </w:r>
          </w:p>
        </w:tc>
      </w:tr>
      <w:tr w:rsidR="0096509E" w:rsidRPr="0096509E" w:rsidTr="007F0A0C">
        <w:tc>
          <w:tcPr>
            <w:tcW w:w="2689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หน่วยงานเจ้าภาพขับเคลื่อน</w:t>
            </w:r>
          </w:p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เป้าหมายระดับประเด็นของแผนแม่บทฯ (จ.2)</w:t>
            </w:r>
          </w:p>
        </w:tc>
        <w:tc>
          <w:tcPr>
            <w:tcW w:w="6908" w:type="dxa"/>
          </w:tcPr>
          <w:p w:rsidR="0096509E" w:rsidRPr="0096509E" w:rsidRDefault="0096509E" w:rsidP="007F0A0C">
            <w:pPr>
              <w:spacing w:line="320" w:lineRule="exact"/>
              <w:ind w:left="173" w:hanging="173"/>
              <w:rPr>
                <w:rFonts w:eastAsia="Calibri"/>
                <w:b/>
                <w:bCs/>
                <w:cs/>
              </w:rPr>
            </w:pPr>
            <w:r w:rsidRPr="0096509E">
              <w:rPr>
                <w:rFonts w:eastAsia="Calibri"/>
                <w:cs/>
              </w:rPr>
              <w:t xml:space="preserve">- </w:t>
            </w:r>
            <w:r w:rsidRPr="0096509E">
              <w:rPr>
                <w:rFonts w:eastAsia="Calibri"/>
                <w:b/>
                <w:bCs/>
                <w:u w:val="single"/>
                <w:cs/>
              </w:rPr>
              <w:t>เปลี่ยนแปลง</w:t>
            </w:r>
            <w:r w:rsidRPr="0096509E">
              <w:rPr>
                <w:rFonts w:eastAsia="Calibri"/>
                <w:b/>
                <w:bCs/>
                <w:cs/>
              </w:rPr>
              <w:t xml:space="preserve"> จำนวน 2 เป้าหมายระดับประเด็นของแผนแม่บทฯ ได้แก่ ประเด็น (04) อุตสาหกรรมบริการแห่งอนาคต </w:t>
            </w:r>
            <w:r w:rsidRPr="0096509E">
              <w:rPr>
                <w:rFonts w:eastAsia="Calibri"/>
                <w:cs/>
              </w:rPr>
              <w:t xml:space="preserve">รหัสเป้าหมาย 040001 (การขยายตัวของผลิตภัณฑ์มวลรวมในประเทศในสาขาอุตสาหกรรมและบริการ) และ 040002 (ผลิตภาพการผลิตของภาคอุตสาหกรรมและภาคบริการเพิ่มขึ้น) : </w:t>
            </w:r>
            <w:r w:rsidRPr="0096509E">
              <w:rPr>
                <w:rFonts w:eastAsia="Calibri"/>
                <w:u w:val="single"/>
                <w:cs/>
              </w:rPr>
              <w:t>จากเดิม</w:t>
            </w:r>
            <w:r w:rsidRPr="0096509E">
              <w:rPr>
                <w:rFonts w:eastAsia="Calibri"/>
                <w:cs/>
              </w:rPr>
              <w:t xml:space="preserve"> อก. และ พณ. </w:t>
            </w:r>
            <w:r w:rsidRPr="0096509E">
              <w:rPr>
                <w:rFonts w:eastAsia="Calibri"/>
                <w:u w:val="single"/>
                <w:cs/>
              </w:rPr>
              <w:t>เป็น</w:t>
            </w:r>
            <w:r w:rsidRPr="0096509E">
              <w:rPr>
                <w:rFonts w:eastAsia="Calibri"/>
                <w:b/>
                <w:bCs/>
                <w:cs/>
              </w:rPr>
              <w:t xml:space="preserve"> อก.</w:t>
            </w:r>
          </w:p>
        </w:tc>
      </w:tr>
      <w:tr w:rsidR="0096509E" w:rsidRPr="0096509E" w:rsidTr="007F0A0C">
        <w:tc>
          <w:tcPr>
            <w:tcW w:w="2689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หน่วยงานเจ้าภาพขับเคลื่อน</w:t>
            </w:r>
          </w:p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เป้าหมายแผนแม่บทย่อย</w:t>
            </w:r>
          </w:p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 xml:space="preserve"> (จ.3)</w:t>
            </w:r>
          </w:p>
        </w:tc>
        <w:tc>
          <w:tcPr>
            <w:tcW w:w="6908" w:type="dxa"/>
          </w:tcPr>
          <w:p w:rsidR="0096509E" w:rsidRPr="0096509E" w:rsidRDefault="0096509E" w:rsidP="007F0A0C">
            <w:pPr>
              <w:spacing w:line="320" w:lineRule="exact"/>
              <w:ind w:left="173" w:hanging="173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cs/>
              </w:rPr>
              <w:t xml:space="preserve">- </w:t>
            </w:r>
            <w:r w:rsidRPr="0096509E">
              <w:rPr>
                <w:rFonts w:eastAsia="Calibri"/>
                <w:b/>
                <w:bCs/>
                <w:u w:val="single"/>
                <w:cs/>
              </w:rPr>
              <w:t>เปลี่ยนแปลง</w:t>
            </w:r>
            <w:r w:rsidRPr="0096509E">
              <w:rPr>
                <w:rFonts w:eastAsia="Calibri"/>
                <w:b/>
                <w:bCs/>
                <w:cs/>
              </w:rPr>
              <w:t xml:space="preserve"> จำนวน 1 เป้าหมายแผนแม่บทย่อย ได้แก่ ประเด็น (01) ความมั่นคง </w:t>
            </w:r>
            <w:r w:rsidRPr="0096509E">
              <w:rPr>
                <w:rFonts w:eastAsia="Calibri"/>
                <w:cs/>
              </w:rPr>
              <w:t xml:space="preserve">รหัสเป้าหมายแผนแม่บทย่อย 010103 (การเมืองมีเสถียรภาพและธรรมาภิบาลสูงขึ้น) : </w:t>
            </w:r>
            <w:r w:rsidRPr="0096509E">
              <w:rPr>
                <w:rFonts w:eastAsia="Calibri"/>
                <w:u w:val="single"/>
                <w:cs/>
              </w:rPr>
              <w:t>จากเดิม</w:t>
            </w:r>
            <w:r w:rsidRPr="0096509E">
              <w:rPr>
                <w:rFonts w:eastAsia="Calibri"/>
                <w:cs/>
              </w:rPr>
              <w:t xml:space="preserve"> สศช. และ พณ. </w:t>
            </w:r>
            <w:r w:rsidRPr="0096509E">
              <w:rPr>
                <w:rFonts w:eastAsia="Calibri"/>
                <w:u w:val="single"/>
                <w:cs/>
              </w:rPr>
              <w:t>เป็น</w:t>
            </w:r>
            <w:r w:rsidRPr="0096509E">
              <w:rPr>
                <w:rFonts w:eastAsia="Calibri"/>
                <w:b/>
                <w:bCs/>
                <w:cs/>
              </w:rPr>
              <w:t xml:space="preserve"> สำนักงานคณะกรรมการการเลือกตั้ง</w:t>
            </w:r>
          </w:p>
          <w:p w:rsidR="0096509E" w:rsidRPr="0096509E" w:rsidRDefault="0096509E" w:rsidP="007F0A0C">
            <w:pPr>
              <w:spacing w:line="320" w:lineRule="exact"/>
              <w:ind w:left="173" w:hanging="173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cs/>
              </w:rPr>
              <w:t>-</w:t>
            </w:r>
            <w:r w:rsidRPr="0096509E">
              <w:rPr>
                <w:rFonts w:eastAsia="Calibri"/>
                <w:b/>
                <w:bCs/>
                <w:cs/>
              </w:rPr>
              <w:t xml:space="preserve"> </w:t>
            </w:r>
            <w:r w:rsidRPr="0096509E">
              <w:rPr>
                <w:rFonts w:eastAsia="Calibri"/>
                <w:b/>
                <w:bCs/>
                <w:u w:val="single"/>
                <w:cs/>
              </w:rPr>
              <w:t>เพิ่มเติม</w:t>
            </w:r>
            <w:r w:rsidRPr="0096509E">
              <w:rPr>
                <w:rFonts w:eastAsia="Calibri"/>
                <w:b/>
                <w:bCs/>
                <w:cs/>
              </w:rPr>
              <w:t xml:space="preserve"> จำนวน 6 เป้าหมายแผนแม่บทย่อย</w:t>
            </w:r>
          </w:p>
          <w:p w:rsidR="0096509E" w:rsidRPr="0096509E" w:rsidRDefault="0096509E" w:rsidP="007F0A0C">
            <w:pPr>
              <w:spacing w:line="320" w:lineRule="exact"/>
              <w:ind w:left="173" w:hanging="173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 xml:space="preserve">(1) ประเด็น (04) อุตสาหกรรมบริการแห่งอนาคต </w:t>
            </w:r>
            <w:r w:rsidRPr="0096509E">
              <w:rPr>
                <w:rFonts w:eastAsia="Calibri"/>
                <w:cs/>
              </w:rPr>
              <w:t xml:space="preserve">รหัสเป้าหมายแผนแม่บทย่อย 040403 (ประเทศไทยเป็นหนึ่งในฐานการผลิตยานยนต์สมัยใหม่ที่สำคัญของโลก) : </w:t>
            </w:r>
            <w:r w:rsidRPr="0096509E">
              <w:rPr>
                <w:rFonts w:eastAsia="Calibri"/>
                <w:b/>
                <w:bCs/>
                <w:cs/>
              </w:rPr>
              <w:t>อก.</w:t>
            </w:r>
          </w:p>
          <w:p w:rsidR="0096509E" w:rsidRPr="0096509E" w:rsidRDefault="0096509E" w:rsidP="007F0A0C">
            <w:pPr>
              <w:spacing w:line="320" w:lineRule="exact"/>
              <w:ind w:left="173" w:hanging="173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 xml:space="preserve">(2) ประเด็น (09) เขตเศรษฐกิจพิเศษ </w:t>
            </w:r>
            <w:r w:rsidRPr="0096509E">
              <w:rPr>
                <w:rFonts w:eastAsia="Calibri"/>
                <w:cs/>
              </w:rPr>
              <w:t xml:space="preserve">รหัสเป้าหมายแผนแม่บทย่อย 090204 (การขยายตัวของผลิตภัณฑ์มวลรวมของพื้นที่ระเบียงเศรษฐกิจพิเศษเพิ่มขึ้น) และ 090205 (การลงทุนในพื้นที่ระเบียงเศรษฐกิจพิเศษเพิ่มขึ้น) : </w:t>
            </w:r>
            <w:r w:rsidRPr="0096509E">
              <w:rPr>
                <w:rFonts w:eastAsia="Calibri"/>
                <w:b/>
                <w:bCs/>
                <w:cs/>
              </w:rPr>
              <w:t>สศช.</w:t>
            </w:r>
          </w:p>
          <w:p w:rsidR="0096509E" w:rsidRPr="0096509E" w:rsidRDefault="0096509E" w:rsidP="007F0A0C">
            <w:pPr>
              <w:spacing w:line="320" w:lineRule="exact"/>
              <w:ind w:left="173" w:hanging="173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 xml:space="preserve">(3) ประเด็น (20) การบริการประชาชนและประสิทธิภาพภาครัฐ </w:t>
            </w:r>
            <w:r w:rsidRPr="0096509E">
              <w:rPr>
                <w:rFonts w:eastAsia="Calibri"/>
                <w:cs/>
              </w:rPr>
              <w:t xml:space="preserve">รหัสเป้าหมายแผนแม่บทย่อย 200202 (ภาษีที่จัดเก็บถูกนำไปใช้อย่างมีประสิทธิภาพ) : </w:t>
            </w:r>
            <w:r w:rsidRPr="0096509E">
              <w:rPr>
                <w:rFonts w:eastAsia="Calibri"/>
                <w:b/>
                <w:bCs/>
                <w:cs/>
              </w:rPr>
              <w:t xml:space="preserve">กระทรวงการคลัง </w:t>
            </w:r>
            <w:r w:rsidRPr="0096509E">
              <w:rPr>
                <w:rFonts w:eastAsia="Calibri"/>
                <w:cs/>
              </w:rPr>
              <w:t xml:space="preserve">และรหัสเป้าหมายแผนแม่บทย่อย 200203 (หน่วยงานของรัฐดำเนินการโครงการตามห่วงโซ่คุณค่าของประเทศไทยเพื่อการบรรลุเป้าหมายของยุทธศาสตร์ชาติ) : </w:t>
            </w:r>
            <w:r w:rsidRPr="0096509E">
              <w:rPr>
                <w:rFonts w:eastAsia="Calibri"/>
                <w:b/>
                <w:bCs/>
                <w:cs/>
              </w:rPr>
              <w:t xml:space="preserve">สศช. </w:t>
            </w:r>
          </w:p>
          <w:p w:rsidR="0096509E" w:rsidRPr="0096509E" w:rsidRDefault="0096509E" w:rsidP="007F0A0C">
            <w:pPr>
              <w:spacing w:line="320" w:lineRule="exact"/>
              <w:ind w:left="173" w:hanging="173"/>
              <w:rPr>
                <w:rFonts w:eastAsia="Calibri"/>
                <w:cs/>
              </w:rPr>
            </w:pPr>
            <w:r w:rsidRPr="0096509E">
              <w:rPr>
                <w:rFonts w:eastAsia="Calibri"/>
                <w:b/>
                <w:bCs/>
                <w:cs/>
              </w:rPr>
              <w:t xml:space="preserve">(4) ประเด็น (22) กฎหมายและกระบวนการยุติธรรม </w:t>
            </w:r>
            <w:r w:rsidRPr="0096509E">
              <w:rPr>
                <w:rFonts w:eastAsia="Calibri"/>
                <w:cs/>
              </w:rPr>
              <w:t xml:space="preserve">รหัสเป้าหมายแผนแม่บทย่อย 220104 (การมีกฎหมายที่ดีและเท่าที่จำเป็น) : </w:t>
            </w:r>
            <w:r w:rsidRPr="0096509E">
              <w:rPr>
                <w:rFonts w:eastAsia="Calibri"/>
                <w:b/>
                <w:bCs/>
                <w:cs/>
              </w:rPr>
              <w:t xml:space="preserve">สำนักงานคณะกรรมการกฤษฎีกา </w:t>
            </w:r>
            <w:r w:rsidRPr="0096509E">
              <w:rPr>
                <w:rFonts w:eastAsia="Calibri"/>
                <w:cs/>
              </w:rPr>
              <w:t>(สคก.)</w:t>
            </w:r>
          </w:p>
        </w:tc>
      </w:tr>
      <w:tr w:rsidR="0096509E" w:rsidRPr="0096509E" w:rsidTr="007F0A0C">
        <w:tc>
          <w:tcPr>
            <w:tcW w:w="2689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</w:p>
        </w:tc>
        <w:tc>
          <w:tcPr>
            <w:tcW w:w="6908" w:type="dxa"/>
          </w:tcPr>
          <w:p w:rsidR="0096509E" w:rsidRPr="0096509E" w:rsidRDefault="0096509E" w:rsidP="007F0A0C">
            <w:pPr>
              <w:spacing w:line="320" w:lineRule="exact"/>
              <w:ind w:left="173" w:hanging="173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cs/>
              </w:rPr>
              <w:t xml:space="preserve">- </w:t>
            </w:r>
            <w:r w:rsidRPr="0096509E">
              <w:rPr>
                <w:rFonts w:eastAsia="Calibri"/>
                <w:b/>
                <w:bCs/>
                <w:u w:val="single"/>
                <w:cs/>
              </w:rPr>
              <w:t>ยกเลิก</w:t>
            </w:r>
            <w:r w:rsidRPr="0096509E">
              <w:rPr>
                <w:rFonts w:eastAsia="Calibri"/>
                <w:b/>
                <w:bCs/>
                <w:cs/>
              </w:rPr>
              <w:t xml:space="preserve"> จำนวน 6 เป้าหมายระดับแผนแม่บทย่อย ได้แก่ </w:t>
            </w:r>
          </w:p>
          <w:p w:rsidR="0096509E" w:rsidRPr="0096509E" w:rsidRDefault="0096509E" w:rsidP="007F0A0C">
            <w:pPr>
              <w:spacing w:line="320" w:lineRule="exact"/>
              <w:ind w:left="173" w:hanging="173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 xml:space="preserve">(1) ประเด็น (04) อุตสาหกรรมบริการแห่งอนาคต </w:t>
            </w:r>
            <w:r w:rsidRPr="0096509E">
              <w:rPr>
                <w:rFonts w:eastAsia="Calibri"/>
                <w:cs/>
              </w:rPr>
              <w:t>รหัสเป้าหมายแผนแม่บทย่อย 040402 [ประเทศไทยมีศักยภาพในการผลิตชิ้นส่วนอากาศยานสูงขึ้น (</w:t>
            </w:r>
            <w:r w:rsidRPr="0096509E">
              <w:rPr>
                <w:rFonts w:eastAsia="Calibri"/>
              </w:rPr>
              <w:t>Tier</w:t>
            </w:r>
            <w:r w:rsidRPr="0096509E">
              <w:rPr>
                <w:rFonts w:eastAsia="Calibri"/>
                <w:cs/>
              </w:rPr>
              <w:t xml:space="preserve">)] : </w:t>
            </w:r>
            <w:r w:rsidRPr="0096509E">
              <w:rPr>
                <w:rFonts w:eastAsia="Calibri"/>
                <w:b/>
                <w:bCs/>
                <w:cs/>
              </w:rPr>
              <w:t>อก.</w:t>
            </w:r>
          </w:p>
          <w:p w:rsidR="0096509E" w:rsidRPr="0096509E" w:rsidRDefault="0096509E" w:rsidP="007F0A0C">
            <w:pPr>
              <w:spacing w:line="320" w:lineRule="exact"/>
              <w:ind w:left="173" w:hanging="173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 xml:space="preserve">(2) ประเด็น (09) เขตเศรษฐกิจพิเศษ </w:t>
            </w:r>
            <w:r w:rsidRPr="0096509E">
              <w:rPr>
                <w:rFonts w:eastAsia="Calibri"/>
                <w:cs/>
              </w:rPr>
              <w:t xml:space="preserve">รหัสเป้าหมายแผนแม่บทย่อย 090201 (การขยายตัวของผลิตภัณฑ์มวลรวมของพื้นที่ระเบียงเศรษฐกิจภาคใต้เพิ่มขึ้น) 090202 (การลงทุนในพื้นที่ระเบียงเศรษฐกิจภาคใต้เพิ่มขึ้น) และ 090203 (เมืองในพื้นที่ระเบียงเศรษฐกิจภาคใต้ที่ได้รับการพัฒนาให้เป็นเมืองน่าอยู่มากขึ้น) : </w:t>
            </w:r>
            <w:r w:rsidRPr="0096509E">
              <w:rPr>
                <w:rFonts w:eastAsia="Calibri"/>
                <w:b/>
                <w:bCs/>
                <w:cs/>
              </w:rPr>
              <w:t xml:space="preserve">สศช. </w:t>
            </w:r>
            <w:r w:rsidRPr="0096509E">
              <w:rPr>
                <w:rFonts w:eastAsia="Calibri"/>
                <w:cs/>
              </w:rPr>
              <w:t>และรหัสเป้าหมายแผนแม่บทย่อย 090303 (เมืองในพื้นที่เขต</w:t>
            </w:r>
            <w:r w:rsidRPr="0096509E">
              <w:rPr>
                <w:rFonts w:eastAsia="Calibri"/>
                <w:cs/>
              </w:rPr>
              <w:lastRenderedPageBreak/>
              <w:t xml:space="preserve">พัฒนาเศรษฐกิจพิเศษชายแดนที่ได้รับการพัฒนาให้เป็นเมืองน่าอยู่มากขึ้น) : </w:t>
            </w:r>
            <w:r w:rsidRPr="0096509E">
              <w:rPr>
                <w:rFonts w:eastAsia="Calibri"/>
                <w:b/>
                <w:bCs/>
                <w:cs/>
              </w:rPr>
              <w:t>กระทรวงมหาดไทย</w:t>
            </w:r>
          </w:p>
          <w:p w:rsidR="0096509E" w:rsidRPr="0096509E" w:rsidRDefault="0096509E" w:rsidP="007F0A0C">
            <w:pPr>
              <w:spacing w:line="320" w:lineRule="exact"/>
              <w:ind w:left="173" w:hanging="173"/>
              <w:rPr>
                <w:rFonts w:eastAsia="Calibri"/>
                <w:b/>
                <w:bCs/>
                <w:cs/>
              </w:rPr>
            </w:pPr>
            <w:r w:rsidRPr="0096509E">
              <w:rPr>
                <w:rFonts w:eastAsia="Calibri"/>
                <w:b/>
                <w:bCs/>
                <w:cs/>
              </w:rPr>
              <w:t xml:space="preserve">(3) ประเด็น (19) การบริหารจัดการน้ำทั้งระบบ </w:t>
            </w:r>
            <w:r w:rsidRPr="0096509E">
              <w:rPr>
                <w:rFonts w:eastAsia="Calibri"/>
                <w:cs/>
              </w:rPr>
              <w:t xml:space="preserve">รหัสเป้าหมายแผนแม่บทย่อย 190203 (ผลิตภาพจากการใช้น้ำเพิ่มขึ้น) : </w:t>
            </w:r>
            <w:r w:rsidRPr="0096509E">
              <w:rPr>
                <w:rFonts w:eastAsia="Calibri"/>
                <w:b/>
                <w:bCs/>
                <w:cs/>
              </w:rPr>
              <w:t>สำนักงานทรัพยากรน้ำแห่งชาติ</w:t>
            </w:r>
          </w:p>
        </w:tc>
      </w:tr>
    </w:tbl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 xml:space="preserve">4.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แนวทางการขับเคลื่อนการดำเนินการในระยะถัดไป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สศช. ยึดหลักวงจรบริหารงานคุณภาพ (</w:t>
      </w:r>
      <w:r w:rsidRPr="0096509E">
        <w:rPr>
          <w:rFonts w:ascii="TH SarabunPSK" w:eastAsia="Calibri" w:hAnsi="TH SarabunPSK" w:cs="TH SarabunPSK"/>
          <w:sz w:val="32"/>
          <w:szCs w:val="32"/>
        </w:rPr>
        <w:t>PDCA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) เป็นกรอบแนวทางในการขับเคลื่อนการดำเนินการในระยะถัดไป เพื่อขับเคลื่อนการดำเนินการให้สามารถบรรลุผลสัมฤทธิ์ของเป้าหมายตามยุทธศาสตร์ชาติ และผลลัพธ์ตามเป้าหมายของแผนแม่บทภายใต้ยุทธศาสตร์ชาติได้อย่างเป็นรูปธรรม สรุปได้ ดังนี้</w:t>
      </w:r>
    </w:p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2122"/>
        <w:gridCol w:w="7472"/>
      </w:tblGrid>
      <w:tr w:rsidR="0096509E" w:rsidRPr="0096509E" w:rsidTr="007F0A0C">
        <w:tc>
          <w:tcPr>
            <w:tcW w:w="2122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หัวข้อ</w:t>
            </w:r>
          </w:p>
        </w:tc>
        <w:tc>
          <w:tcPr>
            <w:tcW w:w="7475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สาระสำคัญ</w:t>
            </w:r>
          </w:p>
        </w:tc>
      </w:tr>
      <w:tr w:rsidR="0096509E" w:rsidRPr="0096509E" w:rsidTr="007F0A0C">
        <w:tc>
          <w:tcPr>
            <w:tcW w:w="2122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96509E">
              <w:rPr>
                <w:rFonts w:eastAsia="Calibri"/>
                <w:cs/>
              </w:rPr>
              <w:t xml:space="preserve">4.1 </w:t>
            </w:r>
            <w:r w:rsidRPr="0096509E">
              <w:rPr>
                <w:rFonts w:eastAsia="Calibri"/>
                <w:b/>
                <w:bCs/>
                <w:cs/>
              </w:rPr>
              <w:t>การวางแผน (</w:t>
            </w:r>
            <w:r w:rsidRPr="0096509E">
              <w:rPr>
                <w:rFonts w:eastAsia="Calibri"/>
                <w:b/>
                <w:bCs/>
              </w:rPr>
              <w:t>Plan</w:t>
            </w:r>
            <w:r w:rsidRPr="0096509E">
              <w:rPr>
                <w:rFonts w:eastAsia="Calibri"/>
                <w:b/>
                <w:bCs/>
                <w:cs/>
              </w:rPr>
              <w:t>)</w:t>
            </w:r>
          </w:p>
        </w:tc>
        <w:tc>
          <w:tcPr>
            <w:tcW w:w="7475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สศช. ร่วมกับหน่วยงานเจ้าภาพ</w:t>
            </w:r>
            <w:r w:rsidRPr="0096509E">
              <w:rPr>
                <w:rFonts w:eastAsia="Calibri"/>
                <w:b/>
                <w:bCs/>
                <w:cs/>
              </w:rPr>
              <w:t xml:space="preserve">สร้างความเข้าใจในการถ่ายระดับของแผนระดับที่ 1 และ 2 ไปสู่การปฏิบัติของหน่วยงานของรัฐ </w:t>
            </w:r>
            <w:r w:rsidRPr="0096509E">
              <w:rPr>
                <w:rFonts w:eastAsia="Calibri"/>
                <w:cs/>
              </w:rPr>
              <w:t>เพื่อการบรรลุเป้าหมายของแผนทั้งสองระดับ</w:t>
            </w:r>
          </w:p>
        </w:tc>
      </w:tr>
      <w:tr w:rsidR="0096509E" w:rsidRPr="0096509E" w:rsidTr="007F0A0C">
        <w:tc>
          <w:tcPr>
            <w:tcW w:w="2122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96509E">
              <w:rPr>
                <w:rFonts w:eastAsia="Calibri"/>
                <w:cs/>
              </w:rPr>
              <w:t xml:space="preserve">4.2 </w:t>
            </w:r>
            <w:r w:rsidRPr="0096509E">
              <w:rPr>
                <w:rFonts w:eastAsia="Calibri"/>
                <w:b/>
                <w:bCs/>
                <w:cs/>
              </w:rPr>
              <w:t>การปฏิบัติ (</w:t>
            </w:r>
            <w:r w:rsidRPr="0096509E">
              <w:rPr>
                <w:rFonts w:eastAsia="Calibri"/>
                <w:b/>
                <w:bCs/>
              </w:rPr>
              <w:t>Do</w:t>
            </w:r>
            <w:r w:rsidRPr="0096509E">
              <w:rPr>
                <w:rFonts w:eastAsia="Calibri"/>
                <w:b/>
                <w:bCs/>
                <w:cs/>
              </w:rPr>
              <w:t>)</w:t>
            </w:r>
          </w:p>
        </w:tc>
        <w:tc>
          <w:tcPr>
            <w:tcW w:w="7475" w:type="dxa"/>
          </w:tcPr>
          <w:p w:rsidR="0096509E" w:rsidRPr="0096509E" w:rsidRDefault="0096509E" w:rsidP="007F0A0C">
            <w:pPr>
              <w:spacing w:line="320" w:lineRule="exact"/>
              <w:ind w:left="318" w:hanging="318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(1) หน่วยงานของรัฐจัดทำแผนระดับที่ 3 หลักของหน่วยงาน ประกอบด้วย แผนปฏิบัติราชการ ราย 5 ปี และรายปี รวมทั้งโครงการ/การดำเนินงานต่าง ๆ ตามมติคณะรัฐมนตรีเมื่อวันที่ 18 พฤษภาคม 2564 </w:t>
            </w:r>
          </w:p>
          <w:p w:rsidR="0096509E" w:rsidRPr="0096509E" w:rsidRDefault="0096509E" w:rsidP="007F0A0C">
            <w:pPr>
              <w:spacing w:line="320" w:lineRule="exact"/>
              <w:ind w:left="318" w:hanging="318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(2) หน่วยงานกลางทำความเข้าใจหลักการและแนวทางการขับเคลื่อนยุทธศาสตร์ชาติสู่</w:t>
            </w:r>
            <w:r w:rsidRPr="00260D26">
              <w:rPr>
                <w:rFonts w:eastAsia="Calibri"/>
                <w:spacing w:val="-2"/>
                <w:cs/>
              </w:rPr>
              <w:t>การปฏิบัติ โดยเฉพาะการขับเคลื่อนการดำเนินการตามเป้าหมายแผนแม่บทย่อย (</w:t>
            </w:r>
            <w:r w:rsidRPr="00260D26">
              <w:rPr>
                <w:rFonts w:eastAsia="Calibri"/>
                <w:spacing w:val="-2"/>
              </w:rPr>
              <w:t>Y1</w:t>
            </w:r>
            <w:r w:rsidRPr="00260D26">
              <w:rPr>
                <w:rFonts w:eastAsia="Calibri"/>
                <w:spacing w:val="-2"/>
                <w:cs/>
              </w:rPr>
              <w:t>)</w:t>
            </w:r>
            <w:r w:rsidRPr="0096509E">
              <w:rPr>
                <w:rFonts w:eastAsia="Calibri"/>
                <w:cs/>
              </w:rPr>
              <w:t xml:space="preserve"> </w:t>
            </w:r>
          </w:p>
          <w:p w:rsidR="0096509E" w:rsidRPr="0096509E" w:rsidRDefault="0096509E" w:rsidP="007F0A0C">
            <w:pPr>
              <w:spacing w:line="320" w:lineRule="exact"/>
              <w:ind w:left="318" w:hanging="318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(3) หน่วยงานของรัฐปรับปรุงการดำเนินงานต่าง ๆ ให้สอดคล้องกับเป้าหมายและทิศทางการพัฒนาประเทศ ที่ต้องมุ่งเน้นการดำเนินการเพื่อบรรลุเป้าหมายแผนแม่บทย่อยแบบพุ่งเป้าไม่ใช่มุ่งที่ตัวชี้วัด โดยมีการถ่ายระดับเป้าหมาย ตัวชี้วัดและ</w:t>
            </w:r>
            <w:r w:rsidR="00260D26">
              <w:rPr>
                <w:rFonts w:eastAsia="Calibri" w:hint="cs"/>
                <w:cs/>
              </w:rPr>
              <w:t xml:space="preserve">           </w:t>
            </w:r>
            <w:r w:rsidRPr="0096509E">
              <w:rPr>
                <w:rFonts w:eastAsia="Calibri"/>
                <w:cs/>
              </w:rPr>
              <w:t>ค่าเป้าหมายไปสู่ระดับความรับผิดชอบของแต่ละหน่วยงาน</w:t>
            </w:r>
          </w:p>
          <w:p w:rsidR="0096509E" w:rsidRPr="0096509E" w:rsidRDefault="0096509E" w:rsidP="007F0A0C">
            <w:pPr>
              <w:spacing w:line="320" w:lineRule="exact"/>
              <w:ind w:left="318" w:hanging="318"/>
              <w:rPr>
                <w:rFonts w:eastAsia="Calibri"/>
                <w:cs/>
              </w:rPr>
            </w:pPr>
            <w:r w:rsidRPr="0096509E">
              <w:rPr>
                <w:rFonts w:eastAsia="Calibri"/>
                <w:cs/>
              </w:rPr>
              <w:t>(4) สำนักงบประมาณ (สงป.) พิจารณาจัดสรรงบประมาณที่ส่งผลต่อการบรรลุเป้าหมายแผนแม่บทย่อย</w:t>
            </w:r>
          </w:p>
        </w:tc>
      </w:tr>
      <w:tr w:rsidR="0096509E" w:rsidRPr="0096509E" w:rsidTr="007F0A0C">
        <w:tc>
          <w:tcPr>
            <w:tcW w:w="2122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96509E">
              <w:rPr>
                <w:rFonts w:eastAsia="Calibri"/>
                <w:cs/>
              </w:rPr>
              <w:t xml:space="preserve">4.3 </w:t>
            </w:r>
            <w:r w:rsidRPr="0096509E">
              <w:rPr>
                <w:rFonts w:eastAsia="Calibri"/>
                <w:b/>
                <w:bCs/>
                <w:cs/>
              </w:rPr>
              <w:t>การติดตาม ตรวจสอบ ประเมินผล (</w:t>
            </w:r>
            <w:r w:rsidRPr="0096509E">
              <w:rPr>
                <w:rFonts w:eastAsia="Calibri"/>
                <w:b/>
                <w:bCs/>
              </w:rPr>
              <w:t>Check</w:t>
            </w:r>
            <w:r w:rsidRPr="0096509E">
              <w:rPr>
                <w:rFonts w:eastAsia="Calibri"/>
                <w:b/>
                <w:bCs/>
                <w:cs/>
              </w:rPr>
              <w:t xml:space="preserve">) </w:t>
            </w:r>
          </w:p>
        </w:tc>
        <w:tc>
          <w:tcPr>
            <w:tcW w:w="7475" w:type="dxa"/>
          </w:tcPr>
          <w:p w:rsidR="0096509E" w:rsidRPr="0096509E" w:rsidRDefault="0096509E" w:rsidP="007F0A0C">
            <w:pPr>
              <w:spacing w:line="320" w:lineRule="exact"/>
              <w:ind w:left="318" w:hanging="318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(1) หน่วยงานที่เกี่ยวข้องดำเนินการการจัดเก็บ/จัดทำข้อมูลสำหรับการติดตาม ตรวจสอบและประเมินผลอย่างต่อเนื่องและนำเข้าข้อมูลในระบบฐานข้อมูลเปิดภาครัฐเพื่อสนับสนุนการติดตาม และประเมินผลการดำเนินงานตามยุทธศาสตร์ชาติ (</w:t>
            </w:r>
            <w:r w:rsidRPr="0096509E">
              <w:rPr>
                <w:rFonts w:eastAsia="Calibri"/>
              </w:rPr>
              <w:t xml:space="preserve">Open Data Portal for Monitoring and Evaluating Government </w:t>
            </w:r>
            <w:r w:rsidRPr="0096509E">
              <w:rPr>
                <w:rFonts w:eastAsia="Calibri"/>
                <w:cs/>
              </w:rPr>
              <w:t xml:space="preserve">: </w:t>
            </w:r>
            <w:r w:rsidRPr="0096509E">
              <w:rPr>
                <w:rFonts w:eastAsia="Calibri"/>
              </w:rPr>
              <w:t>Open</w:t>
            </w:r>
            <w:r w:rsidRPr="0096509E">
              <w:rPr>
                <w:rFonts w:eastAsia="Calibri"/>
                <w:cs/>
              </w:rPr>
              <w:t>-</w:t>
            </w:r>
            <w:r w:rsidRPr="0096509E">
              <w:rPr>
                <w:rFonts w:eastAsia="Calibri"/>
              </w:rPr>
              <w:t>D</w:t>
            </w:r>
            <w:r w:rsidRPr="0096509E">
              <w:rPr>
                <w:rFonts w:eastAsia="Calibri"/>
                <w:cs/>
              </w:rPr>
              <w:t xml:space="preserve">) อย่างต่อเนื่อง </w:t>
            </w:r>
          </w:p>
          <w:p w:rsidR="0096509E" w:rsidRPr="0096509E" w:rsidRDefault="0096509E" w:rsidP="007F0A0C">
            <w:pPr>
              <w:spacing w:line="320" w:lineRule="exact"/>
              <w:ind w:left="318" w:hanging="318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(2) กลไกการติดตาม ตรวจสอบ และประเมินผลหน่วยงานของรัฐตามมติคณะรัฐมนตรีเมื่อวันที่ 9 พฤศจิกายน 2564 ดำเนินการติดตามการดำเนินการตามแผนแม่บทฯ อย่างเคร่งครัด มุ่งเน้นผลลัพธ์การดำเนินการของหน่วยงานที่สามารถส่งผลต่อการขับเคลื่อนเป้าหมายแผนแม่บทฯ ได้อย่างเป็นรูปธรรม</w:t>
            </w:r>
          </w:p>
          <w:p w:rsidR="0096509E" w:rsidRPr="0096509E" w:rsidRDefault="0096509E" w:rsidP="007F0A0C">
            <w:pPr>
              <w:spacing w:line="320" w:lineRule="exact"/>
              <w:ind w:left="318" w:hanging="318"/>
              <w:rPr>
                <w:rFonts w:eastAsia="Calibri"/>
                <w:cs/>
              </w:rPr>
            </w:pPr>
            <w:r w:rsidRPr="0096509E">
              <w:rPr>
                <w:rFonts w:eastAsia="Calibri"/>
                <w:cs/>
              </w:rPr>
              <w:t xml:space="preserve">(3) หน่วยงานของรัฐนำเข้าข้อมูลโครงการ/การดำเนินงาน รวมถึงแผนระดับที่ 3 และรายงานผลสัมฤทธิ์แผนระดับที่ 3 ในระบบติดตามและประเมินผลแห่งชาติ </w:t>
            </w:r>
            <w:r w:rsidRPr="0096509E">
              <w:rPr>
                <w:rFonts w:eastAsia="Calibri"/>
                <w:spacing w:val="-4"/>
                <w:cs/>
              </w:rPr>
              <w:t>(</w:t>
            </w:r>
            <w:r w:rsidRPr="0096509E">
              <w:rPr>
                <w:rFonts w:eastAsia="Calibri"/>
                <w:spacing w:val="-4"/>
              </w:rPr>
              <w:t>Evaluation System of National Strategy and Country Reform</w:t>
            </w:r>
            <w:r w:rsidRPr="0096509E">
              <w:rPr>
                <w:rFonts w:eastAsia="Calibri"/>
                <w:spacing w:val="-4"/>
                <w:cs/>
              </w:rPr>
              <w:t xml:space="preserve"> : </w:t>
            </w:r>
            <w:r w:rsidRPr="0096509E">
              <w:rPr>
                <w:rFonts w:eastAsia="Calibri"/>
                <w:spacing w:val="-4"/>
              </w:rPr>
              <w:t>eMENSCR</w:t>
            </w:r>
            <w:r w:rsidRPr="0096509E">
              <w:rPr>
                <w:rFonts w:eastAsia="Calibri"/>
                <w:spacing w:val="-4"/>
                <w:cs/>
              </w:rPr>
              <w:t xml:space="preserve">) </w:t>
            </w:r>
            <w:r w:rsidRPr="0096509E">
              <w:rPr>
                <w:rFonts w:eastAsia="Calibri"/>
                <w:cs/>
              </w:rPr>
              <w:t>ตามระยะเวลาที่กำหนด</w:t>
            </w:r>
          </w:p>
        </w:tc>
      </w:tr>
      <w:tr w:rsidR="0096509E" w:rsidRPr="0096509E" w:rsidTr="007F0A0C">
        <w:tc>
          <w:tcPr>
            <w:tcW w:w="2122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96509E">
              <w:rPr>
                <w:rFonts w:eastAsia="Calibri"/>
                <w:cs/>
              </w:rPr>
              <w:t xml:space="preserve">4.4 </w:t>
            </w:r>
            <w:r w:rsidRPr="0096509E">
              <w:rPr>
                <w:rFonts w:eastAsia="Calibri"/>
                <w:b/>
                <w:bCs/>
                <w:cs/>
              </w:rPr>
              <w:t>การปรับปรุงการดำเนินงาน (</w:t>
            </w:r>
            <w:r w:rsidRPr="0096509E">
              <w:rPr>
                <w:rFonts w:eastAsia="Calibri"/>
                <w:b/>
                <w:bCs/>
              </w:rPr>
              <w:t>Act</w:t>
            </w:r>
            <w:r w:rsidRPr="0096509E">
              <w:rPr>
                <w:rFonts w:eastAsia="Calibri"/>
                <w:b/>
                <w:bCs/>
                <w:cs/>
              </w:rPr>
              <w:t>)</w:t>
            </w:r>
          </w:p>
        </w:tc>
        <w:tc>
          <w:tcPr>
            <w:tcW w:w="7475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  <w:cs/>
              </w:rPr>
            </w:pPr>
            <w:r w:rsidRPr="0096509E">
              <w:rPr>
                <w:rFonts w:eastAsia="Calibri"/>
                <w:cs/>
              </w:rPr>
              <w:t>สศช. ดำเนินการปรับปรุงกระบวนการขับเคลื่อนยุทธศาสตร์ให้เกิดผลอย่างเป็นรูปธรรมในทุกวงจรบริหารงานคุณภาพ (</w:t>
            </w:r>
            <w:r w:rsidRPr="0096509E">
              <w:rPr>
                <w:rFonts w:eastAsia="Calibri"/>
              </w:rPr>
              <w:t>PDCA</w:t>
            </w:r>
            <w:r w:rsidRPr="0096509E">
              <w:rPr>
                <w:rFonts w:eastAsia="Calibri"/>
                <w:cs/>
              </w:rPr>
              <w:t xml:space="preserve">) </w:t>
            </w:r>
          </w:p>
        </w:tc>
      </w:tr>
    </w:tbl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>5. ในคราว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การประชุมหารือร่วมประธานกรรมการจัดทำยุทธศาสตร์ชาติ 6 คณะ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เมื่อวันที่ 11 สิงหาคม 2565 ได้มีมติเห็นชอบ (ร่าง) แผนแม่บทฯ ฉบับแก้ไขเพิ่มเติม และต่อมา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คณะกรรมการยุทธศาสตร์ชาติ</w:t>
      </w:r>
      <w:r w:rsidR="00260D2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ในคราวประชุมครั้งที่ 2/2565 เมื่อวันที่ 22 สิงหาคม 2565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มีมติเห็นชอบ (ร่าง) แผนแม่บทฯ ฉบับแก้ไขเพิ่มเติม (ข้อ 2)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พร้อมทั้ง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เห็นชอบการมอบหมายหน่วยงานเจ้าภาพขับเคลื่อนฯ (ข้อ 3) และเห็นชอบแนวทางการขับเคลื่อนการดำเนินการในระยะถัดไป (ข้อ 4) ตามที่ สศช. เสนอ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</w:rPr>
        <w:t>__________________________________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vertAlign w:val="superscript"/>
        </w:rPr>
        <w:lastRenderedPageBreak/>
        <w:t>1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 หน่วยงานเจ้าภาพในการขับเคลื่อนประเด็นแผนแม่บท (จ.1) เป้าหมายระดับประเด็นของแผนแม่บทฯ (จ.2)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และเป้าหมายแผนแม่บทย่อย (จ.3) (หน่วยงานเจ้าภาพขับเคลื่อนฯ)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2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สศช. ได้ปรับชื่อ (ร่าง) แผนแม่บทฯ จากเดิม “แผนแม่บทฯ ฉบับปรับปรุง” เป็น “แผนแม่บทฯ ฉบับแก้ไขเพิ่มเติม”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 เพื่อให้เป็นไปตามขั้นตอนของกฎหมายตามนัยของมาตรา 10 แห่งพระราชบัญญัติการจัดทำยุทธศาสตร์ชาติ พ.ศ. 2560 ที่สามารถแก้ไขเพิ่มเติมแผนแม่บทให้สอดคล้องกับความเปลี่ยนแปลงหรือความจำเป็นของประเทศ ทั้งนี้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คณะกรรมการยุทธศาสตร์ชาติมีมติเห็นชอบการปรับชื่อ (ร่าง) แผนแม่บทฯ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โดยยังคงมีสาระสำคัญตามที่คณะกรรมการยุทธศาสตร์ชาติมีมติเห็นชอบ เมื่อวันที่ 22 สิงหาคม 2565 (ตามข้อ 5)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(ด้วยวิธีการแจ้งเวียน) </w:t>
      </w:r>
      <w:r w:rsidR="00260D2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รวมทั้งมอบหมายให้ สศช. เสนอ (ร่าง) แผนแม่บทฯ ฉบับแก้ไขเพิ่มเติม ต่อคณะรัฐมนตรีพิจารณาให้ความเห็นชอบก่อนดำเนินการตามขั้นตอนของกฎหมายต่อไป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96509E" w:rsidRPr="0096509E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16. </w:t>
      </w:r>
      <w:r w:rsidR="0096509E"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สรุปมติการประชุมคณะกรรมการนโยบายปาล์มน้ำมันแห่งชาติ ครั้งที่ 3/2565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คณะรัฐมนตรีมีมติเห็นชอบและรับทราบตามที่รองนายกรัฐมนตรี (พลเอก ประวิตร วงษ์สุวรรณ) ประธานกรรมการนโยบายปาล์มน้ำมันแห่งชาติ (ประธาน กนป.) เสนอ ดังนี้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>1. เห็นชอบให้เปิดตลาดน้ำมันปาล์มและน้ำมันเนื้อในเมล็ดปาล์มและบริหารการนำเข้าคราวละ 3 ปี (ปี 2566 - 2568) โดยให้เป็นไปตามข้อผูกพันของทุกกรอบการค้า และมีการบริหารการนำเข้าเช่นเดียวกับความตกลงการเกษตรภายใต้องค์การการค้าโลก (</w:t>
      </w:r>
      <w:r w:rsidRPr="0096509E">
        <w:rPr>
          <w:rFonts w:ascii="TH SarabunPSK" w:eastAsia="Calibri" w:hAnsi="TH SarabunPSK" w:cs="TH SarabunPSK"/>
          <w:sz w:val="32"/>
          <w:szCs w:val="32"/>
        </w:rPr>
        <w:t xml:space="preserve">World Trade Organization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96509E">
        <w:rPr>
          <w:rFonts w:ascii="TH SarabunPSK" w:eastAsia="Calibri" w:hAnsi="TH SarabunPSK" w:cs="TH SarabunPSK"/>
          <w:sz w:val="32"/>
          <w:szCs w:val="32"/>
        </w:rPr>
        <w:t>WTO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) คือ ให้องค์การคลังสินค้า (อคส.)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 เป็นผู้นำเข้าและกระจายให้ผู้ผลิตภายในประเทศตามที่สมาคมโรงกลั่นน้ำมันปาล์มเป็นผู้จัดสรร ยกเว้นความตกลงการค้าเสรีไทย - ออสเตรเลีย (</w:t>
      </w:r>
      <w:r w:rsidRPr="0096509E">
        <w:rPr>
          <w:rFonts w:ascii="TH SarabunPSK" w:eastAsia="Calibri" w:hAnsi="TH SarabunPSK" w:cs="TH SarabunPSK"/>
          <w:sz w:val="32"/>
          <w:szCs w:val="32"/>
        </w:rPr>
        <w:t xml:space="preserve">Thailand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96509E">
        <w:rPr>
          <w:rFonts w:ascii="TH SarabunPSK" w:eastAsia="Calibri" w:hAnsi="TH SarabunPSK" w:cs="TH SarabunPSK"/>
          <w:sz w:val="32"/>
          <w:szCs w:val="32"/>
        </w:rPr>
        <w:t xml:space="preserve">Australia Free Trade Agreement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96509E">
        <w:rPr>
          <w:rFonts w:ascii="TH SarabunPSK" w:eastAsia="Calibri" w:hAnsi="TH SarabunPSK" w:cs="TH SarabunPSK"/>
          <w:sz w:val="32"/>
          <w:szCs w:val="32"/>
        </w:rPr>
        <w:t>TAFTA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) และความตกลงหุ้นส่วน</w:t>
      </w:r>
      <w:r w:rsidRPr="00260D26">
        <w:rPr>
          <w:rFonts w:ascii="TH SarabunPSK" w:eastAsia="Calibri" w:hAnsi="TH SarabunPSK" w:cs="TH SarabunPSK"/>
          <w:spacing w:val="-4"/>
          <w:sz w:val="32"/>
          <w:szCs w:val="32"/>
          <w:cs/>
        </w:rPr>
        <w:t>เศรษฐกิจที่ใกล้ชิดยิ่งขึ้นไทย - นิวซีแลนด์ (</w:t>
      </w:r>
      <w:r w:rsidRPr="00260D26">
        <w:rPr>
          <w:rFonts w:ascii="TH SarabunPSK" w:eastAsia="Calibri" w:hAnsi="TH SarabunPSK" w:cs="TH SarabunPSK"/>
          <w:spacing w:val="-4"/>
          <w:sz w:val="32"/>
          <w:szCs w:val="32"/>
        </w:rPr>
        <w:t xml:space="preserve">Thailand </w:t>
      </w:r>
      <w:r w:rsidRPr="00260D26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- </w:t>
      </w:r>
      <w:r w:rsidRPr="00260D26">
        <w:rPr>
          <w:rFonts w:ascii="TH SarabunPSK" w:eastAsia="Calibri" w:hAnsi="TH SarabunPSK" w:cs="TH SarabunPSK"/>
          <w:spacing w:val="-4"/>
          <w:sz w:val="32"/>
          <w:szCs w:val="32"/>
        </w:rPr>
        <w:t xml:space="preserve">New Zealand Closer Economic Partnership </w:t>
      </w:r>
      <w:r w:rsidRPr="00260D26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: </w:t>
      </w:r>
      <w:r w:rsidRPr="00260D26">
        <w:rPr>
          <w:rFonts w:ascii="TH SarabunPSK" w:eastAsia="Calibri" w:hAnsi="TH SarabunPSK" w:cs="TH SarabunPSK"/>
          <w:spacing w:val="-4"/>
          <w:sz w:val="32"/>
          <w:szCs w:val="32"/>
        </w:rPr>
        <w:t>TNZCEP</w:t>
      </w:r>
      <w:r w:rsidRPr="00260D26">
        <w:rPr>
          <w:rFonts w:ascii="TH SarabunPSK" w:eastAsia="Calibri" w:hAnsi="TH SarabunPSK" w:cs="TH SarabunPSK"/>
          <w:spacing w:val="-4"/>
          <w:sz w:val="32"/>
          <w:szCs w:val="32"/>
          <w:cs/>
        </w:rPr>
        <w:t>) (ตามข้อ 2)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>2. รับทราบสรุปมติการประชุมคณะกรรมการนโยบายปาล์มน้ำมันแห่งชาติ (กนป.) ครั้งที่ 3/2565 เมื่อวันที่ 19 ตุลาคม 2565 และรับความเห็นของประธาน กนป. และผู้แทนสำนักงบประมาณ (สงป.) เพื่อนำไปประกอบการพิจารณาของคณะรัฐมนตรีในเรื่อง การขอขยายระยะเวลาโครงการผลักดันการส่งออกน้ำมันปาล์ม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เพื่อลดผลผลิตส่วนเกิน ปี 2565 และโครงการผลักดันการส่งออกน้ำมันปาล์มเพื่อลดผลผลิตส่วนเกิน ปี 2566 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รองนายกรัฐมนตรี (พลเอก ประวิตร วงษ์สุวรรณ) ประธาน กนป. รายงานว่า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ที่ประชุม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กนป. ครั้งที่ 3/2565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เมื่อวันที่ 19 ตุลาคม 2565 ได้มีมติเห็นชอบให้มีการดำเนินการ 6 เรื่อง ดังนี้</w:t>
      </w:r>
    </w:p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2546"/>
        <w:gridCol w:w="7048"/>
      </w:tblGrid>
      <w:tr w:rsidR="0096509E" w:rsidRPr="0096509E" w:rsidTr="007F0A0C">
        <w:tc>
          <w:tcPr>
            <w:tcW w:w="2547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เรื่อง</w:t>
            </w:r>
          </w:p>
        </w:tc>
        <w:tc>
          <w:tcPr>
            <w:tcW w:w="7050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มติ กนป. ครั้งที่ 3/2565</w:t>
            </w:r>
          </w:p>
        </w:tc>
      </w:tr>
      <w:tr w:rsidR="0096509E" w:rsidRPr="0096509E" w:rsidTr="007F0A0C">
        <w:tc>
          <w:tcPr>
            <w:tcW w:w="2547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1. การกำหนดมาตรฐานการรับซื้อผลปาล์ม</w:t>
            </w:r>
          </w:p>
        </w:tc>
        <w:tc>
          <w:tcPr>
            <w:tcW w:w="7050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เห็นชอบในหลักการของการกำหนดมาตรการซื้อขายปาล์มคุณภาพ ที่สามารถปฏิบัติได้จริงและไม่เป็นภาระต่อผู้เกี่ยวข้องในอุตสาหกรรมมากเกินสมควร </w:t>
            </w:r>
            <w:r w:rsidR="00260D26">
              <w:rPr>
                <w:rFonts w:eastAsia="Calibri" w:hint="cs"/>
                <w:cs/>
              </w:rPr>
              <w:t xml:space="preserve">       </w:t>
            </w:r>
            <w:r w:rsidRPr="0096509E">
              <w:rPr>
                <w:rFonts w:eastAsia="Calibri"/>
                <w:cs/>
              </w:rPr>
              <w:t>โดยมอบหน่วยงานที่เกี่ยวข้องพิจารณาดำเนินการตามอำนาจหน้าที่และกฎหมายที่เกี่ยวข้องเพื่อกำหนดมาตรการซื้อขายปาล์มคุณภาพ และนำเสนอ กนป. ให้ความเห็นชอบก่อนดำเนินการต่อไป ดังนี้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     1.1 ห้ามรับซื้อผลปาล์มทะลายดิบ (เนื่องจากไม่มีคุณภาพ)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     1.2 กำหนดให้รางเททะลายปาล์มน้ำมันต้องเป็นรางทึบไม่มีการติดตั้งตะแกรง อุปกรณ์สำหรับแยกผลปาล์มร่วง หรือดำเนินการใด ๆ เพื่อแยกผลปาล์มร่วง</w:t>
            </w:r>
            <w:r w:rsidR="00260D26">
              <w:rPr>
                <w:rFonts w:eastAsia="Calibri" w:hint="cs"/>
                <w:cs/>
              </w:rPr>
              <w:t xml:space="preserve">     </w:t>
            </w:r>
            <w:r w:rsidRPr="0096509E">
              <w:rPr>
                <w:rFonts w:eastAsia="Calibri"/>
                <w:cs/>
              </w:rPr>
              <w:t xml:space="preserve"> หรือทำให้ผลปาล์มร่วงอย่างไม่เป็นธรรมชาติ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     1.3 ห้ามรดน้ำทะลายปาล์มเพื่อเพิ่มน้ำหนักทะลายปาล์ม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     1.4 กำหนดให้มีเครื่องชั่งที่ได้มาตรฐาน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ทั้งนี้ เห็นควรมอบหมายให้กรมวิชาการเกษตรและสำนักงานมาตรฐานสินค้าเกษตรและอาหารแห่งชาติร่วมกันกำหนดเกณฑ์การพิจารณามาตรฐานผลปาล์มสุก/ผลปาล์มดิบทางกายภาพในการรับซื้อทะลายปาล์มสุกตามชั้นคุณภาพ </w:t>
            </w:r>
            <w:r w:rsidR="00260D26">
              <w:rPr>
                <w:rFonts w:eastAsia="Calibri" w:hint="cs"/>
                <w:cs/>
              </w:rPr>
              <w:t xml:space="preserve">               </w:t>
            </w:r>
            <w:r w:rsidRPr="0096509E">
              <w:rPr>
                <w:rFonts w:eastAsia="Calibri"/>
                <w:cs/>
              </w:rPr>
              <w:t>เพื่อให้หน่วยงานที่เกี่ยวข้องสามารถนำมาใช้ประกอบการพิจารณาบังคับใช้ในทางกฎหมายได้ต่อไป</w:t>
            </w:r>
          </w:p>
        </w:tc>
      </w:tr>
      <w:tr w:rsidR="0096509E" w:rsidRPr="0096509E" w:rsidTr="007F0A0C">
        <w:tc>
          <w:tcPr>
            <w:tcW w:w="2547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lastRenderedPageBreak/>
              <w:t xml:space="preserve">2. โครงการติดตั้งเครื่องมือวัดปริมาณน้ำมันปาล์มเพื่อบริหารจัดการและควบคุมสต็อกน้ำมันปาล์ม </w:t>
            </w:r>
          </w:p>
        </w:tc>
        <w:tc>
          <w:tcPr>
            <w:tcW w:w="7050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มอบหมาย พณ. เร่งรัดการตรวจรับการติดตั้งเครื่องมือวัดปริมาณน้ำมันปาล์ม โครงการติดตั้งเครื่องมือวัดปริมาณน้ำมันปาล์ม เพื่อบริหารจัดการและควบคุม    สต็อกน้ำมันปาล์มให้แล้วเสร็จโดยเร็ว เพื่อใช้เป็นเครื่องมือในการติดตาม ตรวจสอบ และกำกับดูแลความเคลื่อนไหวของปริมาณสต็อกน้ำมันปาล์มดิบที่ถูกต้อง เที่ยงตรง เป็นปัจจุบันและสามารถตรวจสอบย้อนกลับได้</w:t>
            </w:r>
          </w:p>
        </w:tc>
      </w:tr>
      <w:tr w:rsidR="0096509E" w:rsidRPr="0096509E" w:rsidTr="007F0A0C">
        <w:tc>
          <w:tcPr>
            <w:tcW w:w="2547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3. การเปิดตลาดน้ำมันปาล์มและน้ำมันเนื้อในเมล็ดปาล์มภายใต้กรอบการค้าระหว่างประเทศ ปี 2566 - 2568</w:t>
            </w:r>
          </w:p>
        </w:tc>
        <w:tc>
          <w:tcPr>
            <w:tcW w:w="7050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     3.1 เห็นชอบให้เปิดตลาดน้ำมันปาล์มและน้ำมันเนื้อในเมล็ดปาล์มและบริหารการนำเข้าคราวละ 3 ปี (ปี 2566 - 2568) โดยให้เป็นไปตามข้อผูกพันของทุกกรอบการค้า และมีการบริหารการนำเข้าเช่นเดียวกับความตกลงการเกษตรภายใต้ </w:t>
            </w:r>
            <w:r w:rsidRPr="0096509E">
              <w:rPr>
                <w:rFonts w:eastAsia="Calibri"/>
              </w:rPr>
              <w:t xml:space="preserve">WTO </w:t>
            </w:r>
            <w:r w:rsidRPr="0096509E">
              <w:rPr>
                <w:rFonts w:eastAsia="Calibri"/>
                <w:cs/>
              </w:rPr>
              <w:t xml:space="preserve">คือ ให้ อคส. เป็นผู้นำเข้าและกระจายให้ผู้ผลิตภายในประเทศตามที่สมาคมโรงกลั่นน้ำมันปาล์มเป็นผู้จัดสรร ยกเว้นความตกลง </w:t>
            </w:r>
            <w:r w:rsidRPr="0096509E">
              <w:rPr>
                <w:rFonts w:eastAsia="Calibri"/>
              </w:rPr>
              <w:t xml:space="preserve">TAFTA </w:t>
            </w:r>
            <w:r w:rsidRPr="0096509E">
              <w:rPr>
                <w:rFonts w:eastAsia="Calibri"/>
                <w:cs/>
              </w:rPr>
              <w:t xml:space="preserve">และความตกลง </w:t>
            </w:r>
            <w:r w:rsidRPr="0096509E">
              <w:rPr>
                <w:rFonts w:eastAsia="Calibri"/>
              </w:rPr>
              <w:t xml:space="preserve">TNZCEP 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  <w:cs/>
              </w:rPr>
            </w:pPr>
            <w:r w:rsidRPr="0096509E">
              <w:rPr>
                <w:rFonts w:eastAsia="Calibri"/>
                <w:cs/>
              </w:rPr>
              <w:t xml:space="preserve">     3.2 มอบหมายฝ่ายเลขานุการ กนป. เสนอคณะรัฐมนตรีพิจารณาให้ความเห็นชอบ และมอบ พณ. และกระทรวงการคลัง (กค.) ดำเนินการในส่วนที่เกี่ยวข้องต่อไป</w:t>
            </w:r>
          </w:p>
        </w:tc>
      </w:tr>
      <w:tr w:rsidR="0096509E" w:rsidRPr="0096509E" w:rsidTr="007F0A0C">
        <w:tc>
          <w:tcPr>
            <w:tcW w:w="2547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4. การขอขยายระยะเวลาโครงการผลักดันการส่งออกน้ำมันปาล์มเพื่อลดผลผลิตส่วนเกิน ปี 2565</w:t>
            </w:r>
          </w:p>
        </w:tc>
        <w:tc>
          <w:tcPr>
            <w:tcW w:w="7050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     4.1 เห็นชอบการขยายระยะเวลาดำเนินการตามโครงการผลักดันการส่งออกน้ำมันปาล์มเพื่อลดผลผลิตส่วนเกิน ปี 2565 เป้าหมาย 150,000 ตัน โดยขยายระยะเวลาส่งออก </w:t>
            </w:r>
            <w:r w:rsidRPr="0096509E">
              <w:rPr>
                <w:rFonts w:eastAsia="Calibri"/>
                <w:b/>
                <w:bCs/>
                <w:cs/>
              </w:rPr>
              <w:t xml:space="preserve">จากเดิม </w:t>
            </w:r>
            <w:r w:rsidRPr="0096509E">
              <w:rPr>
                <w:rFonts w:eastAsia="Calibri"/>
                <w:cs/>
              </w:rPr>
              <w:t xml:space="preserve">สิ้นสุดเดือนกันยายน 2565 </w:t>
            </w:r>
            <w:r w:rsidRPr="0096509E">
              <w:rPr>
                <w:rFonts w:eastAsia="Calibri"/>
                <w:b/>
                <w:bCs/>
                <w:cs/>
              </w:rPr>
              <w:t xml:space="preserve">เป็น </w:t>
            </w:r>
            <w:r w:rsidRPr="0096509E">
              <w:rPr>
                <w:rFonts w:eastAsia="Calibri"/>
                <w:cs/>
              </w:rPr>
              <w:t xml:space="preserve">สิ้นสุดเดือนธันวาคม 2565 และระยะเวลาโครงการ </w:t>
            </w:r>
            <w:r w:rsidRPr="0096509E">
              <w:rPr>
                <w:rFonts w:eastAsia="Calibri"/>
                <w:b/>
                <w:bCs/>
                <w:cs/>
              </w:rPr>
              <w:t xml:space="preserve">จากเดิม </w:t>
            </w:r>
            <w:r w:rsidRPr="0096509E">
              <w:rPr>
                <w:rFonts w:eastAsia="Calibri"/>
                <w:cs/>
              </w:rPr>
              <w:t xml:space="preserve">สิ้นสุดเดือนธันวาคม 2565 </w:t>
            </w:r>
            <w:r w:rsidRPr="0096509E">
              <w:rPr>
                <w:rFonts w:eastAsia="Calibri"/>
                <w:b/>
                <w:bCs/>
                <w:cs/>
              </w:rPr>
              <w:t xml:space="preserve">เป็น </w:t>
            </w:r>
            <w:r w:rsidR="00260D26">
              <w:rPr>
                <w:rFonts w:eastAsia="Calibri" w:hint="cs"/>
                <w:b/>
                <w:bCs/>
                <w:cs/>
              </w:rPr>
              <w:t xml:space="preserve">         </w:t>
            </w:r>
            <w:r w:rsidRPr="0096509E">
              <w:rPr>
                <w:rFonts w:eastAsia="Calibri"/>
                <w:cs/>
              </w:rPr>
              <w:t xml:space="preserve">สิ้นสุดเดือนมีนาคม 2566 หรือจนกว่าคณะรัฐมนตรีมีมติอนุมัติการดำเนินโครงการผลักดันการส่งออกน้ำมันปาล์มเพื่อลดผลผลิตส่วนเกิน ปี 2566 ทั้งนี้ </w:t>
            </w:r>
            <w:r w:rsidR="00260D26">
              <w:rPr>
                <w:rFonts w:eastAsia="Calibri" w:hint="cs"/>
                <w:cs/>
              </w:rPr>
              <w:t xml:space="preserve">                  </w:t>
            </w:r>
            <w:r w:rsidR="00C61B46">
              <w:rPr>
                <w:rFonts w:eastAsia="Calibri" w:hint="cs"/>
                <w:cs/>
              </w:rPr>
              <w:t xml:space="preserve">       </w:t>
            </w:r>
            <w:r w:rsidRPr="0096509E">
              <w:rPr>
                <w:rFonts w:eastAsia="Calibri"/>
                <w:cs/>
              </w:rPr>
              <w:t xml:space="preserve">ในการดำเนินการโครงการฯ จะพิจารณาสนับสนุนค่าใช้จ่ายในการบริหารจัดการสำหรับการส่งออกเฉพาะน้ำมันปาล์มดิบ ในอัตราไม่เกิน 2 บาทต่อกิโลกรัม เมื่อระดับสต็อกน้ำมันปาล์มดิบในประเทศสูงกว่า 300,000 ตัน และราคาน้ำมันปาล์มดิบในประเทศสูงกว่าราคาตลาดโลก ตามที่คณะรัฐมนตรีมีมติอนุมัติเมื่อวันที่ </w:t>
            </w:r>
            <w:r w:rsidR="00260D26">
              <w:rPr>
                <w:rFonts w:eastAsia="Calibri" w:hint="cs"/>
                <w:cs/>
              </w:rPr>
              <w:t xml:space="preserve">         </w:t>
            </w:r>
            <w:r w:rsidRPr="0096509E">
              <w:rPr>
                <w:rFonts w:eastAsia="Calibri"/>
                <w:cs/>
              </w:rPr>
              <w:t xml:space="preserve">5 กรกฎาคม 2565 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     4.2 สำหรับกรอบวงเงินงบประมาณ ให้ สงป. พิจารณาจัดสรรกรอบวงเงินงบประมาณรายจ่ายประจำปีงบประมาณ พ.ศ. 2566 งบกลาง รายการเงินสำรองจ่ายเพื่อกรณีฉุกเฉินหรือจำเป็น เพื่อดำเนินโครงการในช่วงระยะเวลาดังกล่าว วงเงินรวมทั้งสิ้น 309 ล้านบาท </w:t>
            </w:r>
          </w:p>
        </w:tc>
      </w:tr>
      <w:tr w:rsidR="0096509E" w:rsidRPr="0096509E" w:rsidTr="007F0A0C">
        <w:tc>
          <w:tcPr>
            <w:tcW w:w="2547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 xml:space="preserve">5. โครงการประกันรายได้เกษตรกรชาวสวนปาล์มน้ำมัน ปี 2565 - 2566 และมาตรการคู่ขนาน ปี 2566 </w:t>
            </w:r>
          </w:p>
        </w:tc>
        <w:tc>
          <w:tcPr>
            <w:tcW w:w="7050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     5.1 เห็นชอบการดำเนินโครงการประกันรายได้เกษตรกรชาวสวนปาล์มน้ำมัน ปี 2565 - 2566 ตามที่ พณ. เสนอ ระยะเวลาการจ่ายเงินเดือนกันยายน 2565 - สิงหาคม 2566 กรอบวงเงินดำเนินการ 6,128.18 ล้านบาท โดยคงหลักการเช่นเดียวกับโครงการประกันรายได้เกษตรกรชาวสวนปาล์มน้ำมัน ปี 2564 - 2565 ทั้งนี้ เพื่อให้เกิดความต่อเนื่องจากโครงการฯ ปี 2564 - 2565 กำหนดให้เริ่มจ่ายเงินชดเชยประกันรายได้ งวดที่ 1 ให้แก่เกษตรกรตั้งแต่เดือนกันยายน 2565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cs/>
              </w:rPr>
              <w:t xml:space="preserve">     5.2 </w:t>
            </w:r>
            <w:r w:rsidRPr="0096509E">
              <w:rPr>
                <w:rFonts w:eastAsia="Calibri"/>
                <w:b/>
                <w:bCs/>
                <w:cs/>
              </w:rPr>
              <w:t xml:space="preserve">เห็นชอบการดำเนินโครงการผลักดันการส่งออกน้ำมันปาล์มเพื่อลดผลผลิตส่วนเกิน ปี 2566 ตามที่ พณ. เสนอ เป้าหมาย 150,000 ตัน ระยะเวลาส่งออกตั้งแต่เดือนมกราคม - ธันวาคม 2566 ระยะเวลาโครงการ ตั้งแต่เดือนมกราคม 2566 - มีนาคม 2567 กรอบวงเงินดำเนินการ 309 ล้านบาท </w:t>
            </w:r>
            <w:r w:rsidR="00260D26">
              <w:rPr>
                <w:rFonts w:eastAsia="Calibri" w:hint="cs"/>
                <w:b/>
                <w:bCs/>
                <w:cs/>
              </w:rPr>
              <w:t xml:space="preserve">          </w:t>
            </w:r>
            <w:r w:rsidRPr="0096509E">
              <w:rPr>
                <w:rFonts w:eastAsia="Calibri"/>
                <w:b/>
                <w:bCs/>
                <w:cs/>
              </w:rPr>
              <w:t xml:space="preserve">จากงบกลาง รายการเงินสำรองจ่ายเพื่อกรณีฉุกเฉินหรือจำเป็น </w:t>
            </w:r>
            <w:r w:rsidRPr="0096509E">
              <w:rPr>
                <w:rFonts w:eastAsia="Calibri"/>
                <w:cs/>
              </w:rPr>
              <w:t>เพื่อลดปริมาณสต็อกน้ำมันปาล์มดิบส่วนเกินและรักษาเสถียรภาพราคาปาล์มน้ำมันและน้ำมันปาล์มในประเทศ โดยในการดำเนินการโครงการฯ จะพิจารณา</w:t>
            </w:r>
            <w:r w:rsidRPr="0096509E">
              <w:rPr>
                <w:rFonts w:eastAsia="Calibri"/>
                <w:b/>
                <w:bCs/>
                <w:cs/>
              </w:rPr>
              <w:t>สนับสนุนค่าใช้จ่ายในการบริหารจัดการสำหรับการส่งออกเฉพาะน้ำมันปาล์มดิบในอัตราไม่เกิน</w:t>
            </w:r>
            <w:r w:rsidR="00260D26">
              <w:rPr>
                <w:rFonts w:eastAsia="Calibri" w:hint="cs"/>
                <w:b/>
                <w:bCs/>
                <w:cs/>
              </w:rPr>
              <w:t xml:space="preserve">     </w:t>
            </w:r>
            <w:r w:rsidRPr="0096509E">
              <w:rPr>
                <w:rFonts w:eastAsia="Calibri"/>
                <w:b/>
                <w:bCs/>
                <w:cs/>
              </w:rPr>
              <w:t xml:space="preserve"> </w:t>
            </w:r>
            <w:r w:rsidRPr="00260D26">
              <w:rPr>
                <w:rFonts w:ascii="TH SarabunPSK Bold" w:eastAsia="Calibri" w:hAnsi="TH SarabunPSK Bold"/>
                <w:b/>
                <w:bCs/>
                <w:spacing w:val="-4"/>
                <w:cs/>
              </w:rPr>
              <w:t>2 บาทต่อกิโลกรัม เมื่อระดับสต็อกน้ำมันปาล์มดิบในประเทศสูงกว่า 250,000 ตัน</w:t>
            </w:r>
            <w:r w:rsidRPr="0096509E">
              <w:rPr>
                <w:rFonts w:eastAsia="Calibri"/>
                <w:b/>
                <w:bCs/>
                <w:cs/>
              </w:rPr>
              <w:t xml:space="preserve"> </w:t>
            </w:r>
            <w:r w:rsidRPr="0096509E">
              <w:rPr>
                <w:rFonts w:eastAsia="Calibri"/>
                <w:cs/>
              </w:rPr>
              <w:t>และราคาน้ำมันปาล์มดิบในประเทศสูงกว่าราคาตลาดโลก ทั้งนี้ เพื่อให้การบริหารสมดุลน้ำมันปาล์มภายในประเทศเป็นไปอย่างมีประสิทธิภาพ การกำหนดเงื่อนไขใน</w:t>
            </w:r>
            <w:r w:rsidRPr="0096509E">
              <w:rPr>
                <w:rFonts w:eastAsia="Calibri"/>
                <w:cs/>
              </w:rPr>
              <w:lastRenderedPageBreak/>
              <w:t xml:space="preserve">การพิจารณาสนับสนุนค่าใช้จ่ายฯ ในส่วนของระดับสต็อกน้ำมันปาล์มดิบ </w:t>
            </w:r>
            <w:r w:rsidRPr="0096509E">
              <w:rPr>
                <w:rFonts w:eastAsia="Calibri"/>
                <w:b/>
                <w:bCs/>
                <w:cs/>
              </w:rPr>
              <w:t>สามารถปรับเปลี่ยนได้ตามสถานการณ์ที่เปลี่ยนแปลงไป โดยให้เป็นอำนาจของ กนป. เป็นผู้พิจารณาให้ความเห็นชอบ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b/>
                <w:bCs/>
                <w:cs/>
              </w:rPr>
              <w:t xml:space="preserve">     </w:t>
            </w:r>
            <w:r w:rsidRPr="0096509E">
              <w:rPr>
                <w:rFonts w:eastAsia="Calibri"/>
                <w:cs/>
              </w:rPr>
              <w:t xml:space="preserve">5.3 มอบหมาย พณ. โดยกรมการค้าภายใน นำเสนอคณะรัฐมนตรีพิจารณาให้ความเห็นชอบการดำเนินโครงการประกันรายได้เกษตรกรชาวสวนปาล์มน้ำมัน </w:t>
            </w:r>
            <w:r w:rsidR="00260D26">
              <w:rPr>
                <w:rFonts w:eastAsia="Calibri" w:hint="cs"/>
                <w:cs/>
              </w:rPr>
              <w:t xml:space="preserve">    </w:t>
            </w:r>
            <w:r w:rsidRPr="0096509E">
              <w:rPr>
                <w:rFonts w:eastAsia="Calibri"/>
                <w:cs/>
              </w:rPr>
              <w:t xml:space="preserve">ปี 2565 - 2566 และโครงการผลักดันการส่งออกน้ำมันปาล์มเพื่อลดผลผลิตส่วนเกิน ปี 2566 รวมทั้งอนุมัติกรอบวงเงินดำเนินการ 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     5.4 เห็นชอบมอบหมาย พณ. กระทรวงเกษตรและสหกรณ์ ธนาคารเพื่อการเกษตรและสหกรณ์การเกษตร กระทรวงมหาดไทย กค. และ สงป. ดำเนินการในส่วนที่เกี่ยวข้องต่อไป 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     5.5 เห็นชอบมอบหมายฝ่ายเลขานุการ กนป. พิจารณาเสนอร่างคำสั่งแต่งตั้งคณะอนุกรรมการบริหารโครงการประกันรายได้เกษตรกรชาวสวนปาล์มน้ำมัน </w:t>
            </w:r>
            <w:r w:rsidR="00260D26">
              <w:rPr>
                <w:rFonts w:eastAsia="Calibri" w:hint="cs"/>
                <w:cs/>
              </w:rPr>
              <w:t xml:space="preserve">     </w:t>
            </w:r>
            <w:r w:rsidRPr="0096509E">
              <w:rPr>
                <w:rFonts w:eastAsia="Calibri"/>
                <w:cs/>
              </w:rPr>
              <w:t>ปี 2565 - 2566 เพื่อนำเรียนประธาน กนป. ลงนามในคำสั่งแต่งตั้งต่อไป</w:t>
            </w:r>
          </w:p>
        </w:tc>
      </w:tr>
      <w:tr w:rsidR="0096509E" w:rsidRPr="0096509E" w:rsidTr="007F0A0C">
        <w:tc>
          <w:tcPr>
            <w:tcW w:w="2547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lastRenderedPageBreak/>
              <w:t>6. การสรรหากรรมการผู้ทรงคุณวุฒิ ใน กนป.</w:t>
            </w:r>
          </w:p>
        </w:tc>
        <w:tc>
          <w:tcPr>
            <w:tcW w:w="7050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     6.1 เห็นชอบการยกเว้นการใช้หลักเกณฑ์และวิธีการสรรหากรรมการผู้ทรงคุณวุฒิในคณะกรรมการนโยบายปาล์มน้ำมันแห่งชาติ พ.ศ. 2563 ข้อ 4 </w:t>
            </w:r>
            <w:r w:rsidR="00260D26">
              <w:rPr>
                <w:rFonts w:eastAsia="Calibri" w:hint="cs"/>
                <w:cs/>
              </w:rPr>
              <w:t xml:space="preserve">      </w:t>
            </w:r>
            <w:r w:rsidRPr="0096509E">
              <w:rPr>
                <w:rFonts w:eastAsia="Calibri"/>
                <w:cs/>
              </w:rPr>
              <w:t xml:space="preserve">(4) ให้คณะอนุกรรมการสรรหาฯ ดำเนินการคัดเลือกผู้ที่ได้รับการสรรหาให้เหลือจำนวน 2 เท่า ของจำนวนกรรมการผู้ทรงคุณวุฒิฯ ที่กำหนด (20 คน) 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     6.2 เห็นชอบผลการสรรหากรรมการผู้ทรงคุณวุฒิฯ ซึ่งเป็นบุคคลผู้มีความรู้ความเชี่ยวชาญในแต่ละด้านที่พึงประสงค์ให้มีในกรรมการผู้ทรงคุณวุฒิฯ จำนวน 10 ราย ดังนี้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ab/>
              <w:t xml:space="preserve">6.2.1 กรรมการผู้ทรงคุณวุฒิฯ ตามความรู้ความเชี่ยวชาญของกรรมการผู้ทรงคุณวุฒิทั้ง 7 ด้าน (1) ด้านการส่งเสริมความร่วมมือทางเศรษฐกิจระหว่างประเทศ (นายธนิตย์ ธรรมจรัส) (2) ด้านการตลาดผลิตภัณฑ์มูลค่าสูง (นายศุภชัย จินตนาเลิศ) (3) ด้านนวัตกรรมการเพิ่มอุปสงค์น้ำมันปาล์มและผลิตภัณฑ์ (นายพิพัฒน์ วีระถาวร) (4) ด้านระบบขนส่งและการกระจายสินค้า (นายต่อพงษ์ ตริยานนท์) (5) ด้านพลังงานทางเลือกใหม่ (นายพงษ์ชัย ชัยจิรวัฒน์) (6) ด้านการส่งเสริมขีดความสามารถทางการแข่งขันและการลงทุน (ผศ.ดร.ธีรศักดิ์ ปั้นวิชัย) และ </w:t>
            </w:r>
            <w:r w:rsidR="00260D26">
              <w:rPr>
                <w:rFonts w:eastAsia="Calibri" w:hint="cs"/>
                <w:cs/>
              </w:rPr>
              <w:t xml:space="preserve">      </w:t>
            </w:r>
            <w:r w:rsidRPr="0096509E">
              <w:rPr>
                <w:rFonts w:eastAsia="Calibri"/>
                <w:cs/>
              </w:rPr>
              <w:t>(7) ด้านสิ่งแวดล้อม (ดร.วิจารย์ สิมาฉายา)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ab/>
              <w:t>6.2.2 กรรมการผู้ทรงคุณวุฒิฯ ในส่วนของผู้ประกอบการสวนปาล์มน้ำมัน (เกษตรกร) จำนวน 3 คน ได้แก่ (1) นายวิรัตน์ ธรรมบำรุง (2) นายสุทธิพันธ์ นุรักษ์ และ (3) นายวิโรช เพ็ชรร่วง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     6.3 เห็นชอบให้ฝ่ายเลขานุการ กนป. นำรายชื่อผู้ที่มีความเหมาะสมในลำดับถัดไปสำรองไว้เพื่อเสนอเป็นกรรมการผู้ทรงคุณวุฒิต่อไป ในกรณีกรรมการผู้ทรงคุณวุฒิพ้นจากตำแหน่งก่อนวาระ โดยให้อยู่ในตำแหน่งได้เท่ากับวาระที่เหลืออยู่ของกรรมการผู้ทรงคุณวุฒิซึ่งได้แต่งตั้งไว้ 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     6.4 มอบหมายฝ่ายเลขานุการดำเนินการเพื่อการแต่งตั้งเป็นกรรมการผู้ทรงคุณวุฒิฯ ต่อไป</w:t>
            </w:r>
          </w:p>
        </w:tc>
      </w:tr>
    </w:tbl>
    <w:p w:rsid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กนป. ขอให้นำเสนอคณะรัฐมนตรีให้ความเห็นชอบให้เปิดตลาดน้ำมันปาล์มและน้ำมันเนื้อในเมล็ดปาล์มและบริหารการนำเข้าคราวละ 3 ปี (ปี 2566 - 2568) โดยให้เป็นไปตามข้อผูกพันของทุกกรอบการค้า และมีการบริหารการนำเข้าเช่นเดียวกับความตกลงการเกษตรภายใต้ </w:t>
      </w:r>
      <w:r w:rsidRPr="0096509E">
        <w:rPr>
          <w:rFonts w:ascii="TH SarabunPSK" w:eastAsia="Calibri" w:hAnsi="TH SarabunPSK" w:cs="TH SarabunPSK"/>
          <w:sz w:val="32"/>
          <w:szCs w:val="32"/>
        </w:rPr>
        <w:t xml:space="preserve">WTO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คือ ให้ อคส. เป็นผู้นำเข้าและกระจายให้ผู้ผลิตภายในประเทศตามที่สมาคมโรงกลั่นน้ำมันปาล์มเป็นผู้จัดสรร ยกเว้นความตกลง </w:t>
      </w:r>
      <w:r w:rsidRPr="0096509E">
        <w:rPr>
          <w:rFonts w:ascii="TH SarabunPSK" w:eastAsia="Calibri" w:hAnsi="TH SarabunPSK" w:cs="TH SarabunPSK"/>
          <w:sz w:val="32"/>
          <w:szCs w:val="32"/>
        </w:rPr>
        <w:t xml:space="preserve">TAFTA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และความตกลง </w:t>
      </w:r>
      <w:r w:rsidRPr="0096509E">
        <w:rPr>
          <w:rFonts w:ascii="TH SarabunPSK" w:eastAsia="Calibri" w:hAnsi="TH SarabunPSK" w:cs="TH SarabunPSK"/>
          <w:sz w:val="32"/>
          <w:szCs w:val="32"/>
        </w:rPr>
        <w:t>TNZCEP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 โดยมีรายละเอียด ดังนี้</w:t>
      </w:r>
    </w:p>
    <w:p w:rsidR="00260D26" w:rsidRDefault="00260D26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235B0" w:rsidRDefault="001235B0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235B0" w:rsidRPr="0096509E" w:rsidRDefault="001235B0" w:rsidP="007F0A0C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96509E" w:rsidRPr="0096509E" w:rsidRDefault="0096509E" w:rsidP="007F0A0C">
      <w:pPr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กรอบการค้าระหว่างประเทศและการบริหารการนำเข้า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vertAlign w:val="superscript"/>
          <w:cs/>
        </w:rPr>
        <w:t>1</w:t>
      </w:r>
    </w:p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3112"/>
        <w:gridCol w:w="992"/>
        <w:gridCol w:w="1134"/>
        <w:gridCol w:w="1276"/>
        <w:gridCol w:w="3080"/>
      </w:tblGrid>
      <w:tr w:rsidR="0096509E" w:rsidRPr="0096509E" w:rsidTr="007F0A0C">
        <w:tc>
          <w:tcPr>
            <w:tcW w:w="3114" w:type="dxa"/>
            <w:vMerge w:val="restart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กรอบการค้าระหว่างประเทศที่ไทยมีข้อผูกพัน</w:t>
            </w:r>
          </w:p>
        </w:tc>
        <w:tc>
          <w:tcPr>
            <w:tcW w:w="992" w:type="dxa"/>
            <w:vMerge w:val="restart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ปริมาณ</w:t>
            </w:r>
          </w:p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(ตัน)</w:t>
            </w:r>
          </w:p>
        </w:tc>
        <w:tc>
          <w:tcPr>
            <w:tcW w:w="2410" w:type="dxa"/>
            <w:gridSpan w:val="2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อัตราภาษี (%)</w:t>
            </w:r>
          </w:p>
        </w:tc>
        <w:tc>
          <w:tcPr>
            <w:tcW w:w="3081" w:type="dxa"/>
            <w:vMerge w:val="restart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การบริหารการนำเข้า</w:t>
            </w:r>
          </w:p>
        </w:tc>
      </w:tr>
      <w:tr w:rsidR="0096509E" w:rsidRPr="0096509E" w:rsidTr="007F0A0C">
        <w:tc>
          <w:tcPr>
            <w:tcW w:w="3114" w:type="dxa"/>
            <w:vMerge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</w:p>
        </w:tc>
        <w:tc>
          <w:tcPr>
            <w:tcW w:w="1134" w:type="dxa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ในโควตา</w:t>
            </w:r>
          </w:p>
        </w:tc>
        <w:tc>
          <w:tcPr>
            <w:tcW w:w="1276" w:type="dxa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นอกโควตา</w:t>
            </w:r>
          </w:p>
        </w:tc>
        <w:tc>
          <w:tcPr>
            <w:tcW w:w="3081" w:type="dxa"/>
            <w:vMerge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</w:p>
        </w:tc>
      </w:tr>
      <w:tr w:rsidR="0096509E" w:rsidRPr="0096509E" w:rsidTr="007F0A0C">
        <w:tc>
          <w:tcPr>
            <w:tcW w:w="3114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1) </w:t>
            </w:r>
            <w:r w:rsidRPr="0096509E">
              <w:rPr>
                <w:rFonts w:eastAsia="Calibri"/>
              </w:rPr>
              <w:t xml:space="preserve">WTO </w:t>
            </w:r>
          </w:p>
        </w:tc>
        <w:tc>
          <w:tcPr>
            <w:tcW w:w="992" w:type="dxa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</w:rPr>
              <w:t>4</w:t>
            </w:r>
            <w:r w:rsidRPr="0096509E">
              <w:rPr>
                <w:rFonts w:eastAsia="Calibri"/>
                <w:cs/>
              </w:rPr>
              <w:t>,</w:t>
            </w:r>
            <w:r w:rsidRPr="0096509E">
              <w:rPr>
                <w:rFonts w:eastAsia="Calibri"/>
              </w:rPr>
              <w:t>860</w:t>
            </w:r>
          </w:p>
        </w:tc>
        <w:tc>
          <w:tcPr>
            <w:tcW w:w="1134" w:type="dxa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20</w:t>
            </w:r>
          </w:p>
        </w:tc>
        <w:tc>
          <w:tcPr>
            <w:tcW w:w="1276" w:type="dxa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143</w:t>
            </w:r>
          </w:p>
        </w:tc>
        <w:tc>
          <w:tcPr>
            <w:tcW w:w="3081" w:type="dxa"/>
            <w:vMerge w:val="restart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ให้ อคส. เป็นผู้มีสิทธินำเข้าแต่ผู้เดียว</w:t>
            </w:r>
          </w:p>
        </w:tc>
      </w:tr>
      <w:tr w:rsidR="0096509E" w:rsidRPr="0096509E" w:rsidTr="007F0A0C">
        <w:tc>
          <w:tcPr>
            <w:tcW w:w="3114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  <w:cs/>
              </w:rPr>
            </w:pPr>
            <w:r w:rsidRPr="0096509E">
              <w:rPr>
                <w:rFonts w:eastAsia="Calibri"/>
              </w:rPr>
              <w:t>2</w:t>
            </w:r>
            <w:r w:rsidRPr="0096509E">
              <w:rPr>
                <w:rFonts w:eastAsia="Calibri"/>
                <w:cs/>
              </w:rPr>
              <w:t>) ความตกลงหุ้นส่วนเศรษฐกิจที่ใกล้ชิดไทย - ญี่ปุ่น (</w:t>
            </w:r>
            <w:r w:rsidRPr="0096509E">
              <w:rPr>
                <w:rFonts w:eastAsia="Calibri"/>
              </w:rPr>
              <w:t xml:space="preserve">Japan </w:t>
            </w:r>
            <w:r w:rsidRPr="0096509E">
              <w:rPr>
                <w:rFonts w:eastAsia="Calibri"/>
                <w:cs/>
              </w:rPr>
              <w:t xml:space="preserve">- </w:t>
            </w:r>
            <w:r w:rsidRPr="0096509E">
              <w:rPr>
                <w:rFonts w:eastAsia="Calibri"/>
              </w:rPr>
              <w:t>Thailand Economic Partnership Agreement</w:t>
            </w:r>
            <w:r w:rsidRPr="0096509E">
              <w:rPr>
                <w:rFonts w:eastAsia="Calibri"/>
                <w:cs/>
              </w:rPr>
              <w:t xml:space="preserve">: </w:t>
            </w:r>
            <w:r w:rsidRPr="0096509E">
              <w:rPr>
                <w:rFonts w:eastAsia="Calibri"/>
              </w:rPr>
              <w:t>JTEPA</w:t>
            </w:r>
            <w:r w:rsidRPr="0096509E">
              <w:rPr>
                <w:rFonts w:eastAsia="Calibri"/>
                <w:cs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ใช้กรอบเดียวกับ </w:t>
            </w:r>
            <w:r w:rsidRPr="0096509E">
              <w:rPr>
                <w:rFonts w:eastAsia="Calibri"/>
              </w:rPr>
              <w:t>WTO</w:t>
            </w:r>
          </w:p>
        </w:tc>
        <w:tc>
          <w:tcPr>
            <w:tcW w:w="1134" w:type="dxa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0</w:t>
            </w:r>
          </w:p>
        </w:tc>
        <w:tc>
          <w:tcPr>
            <w:tcW w:w="1276" w:type="dxa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143</w:t>
            </w:r>
          </w:p>
        </w:tc>
        <w:tc>
          <w:tcPr>
            <w:tcW w:w="3081" w:type="dxa"/>
            <w:vMerge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</w:p>
        </w:tc>
      </w:tr>
      <w:tr w:rsidR="0096509E" w:rsidRPr="0096509E" w:rsidTr="007F0A0C">
        <w:tc>
          <w:tcPr>
            <w:tcW w:w="3114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  <w:cs/>
              </w:rPr>
            </w:pPr>
            <w:r w:rsidRPr="0096509E">
              <w:rPr>
                <w:rFonts w:eastAsia="Calibri"/>
                <w:cs/>
              </w:rPr>
              <w:t>3) ความตกลงการค้าเสรีไทย - ชิลี (</w:t>
            </w:r>
            <w:r w:rsidRPr="0096509E">
              <w:rPr>
                <w:rFonts w:eastAsia="Calibri"/>
              </w:rPr>
              <w:t xml:space="preserve">Thailand </w:t>
            </w:r>
            <w:r w:rsidRPr="0096509E">
              <w:rPr>
                <w:rFonts w:eastAsia="Calibri"/>
                <w:cs/>
              </w:rPr>
              <w:t xml:space="preserve">- </w:t>
            </w:r>
            <w:r w:rsidRPr="0096509E">
              <w:rPr>
                <w:rFonts w:eastAsia="Calibri"/>
              </w:rPr>
              <w:t>Chile Free Trade Agreement</w:t>
            </w:r>
            <w:r w:rsidRPr="0096509E">
              <w:rPr>
                <w:rFonts w:eastAsia="Calibri"/>
                <w:cs/>
              </w:rPr>
              <w:t xml:space="preserve">: </w:t>
            </w:r>
            <w:r w:rsidRPr="0096509E">
              <w:rPr>
                <w:rFonts w:eastAsia="Calibri"/>
              </w:rPr>
              <w:t>TCFTA</w:t>
            </w:r>
            <w:r w:rsidRPr="0096509E">
              <w:rPr>
                <w:rFonts w:eastAsia="Calibri"/>
                <w:cs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0</w:t>
            </w:r>
          </w:p>
        </w:tc>
        <w:tc>
          <w:tcPr>
            <w:tcW w:w="1276" w:type="dxa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143</w:t>
            </w:r>
          </w:p>
        </w:tc>
        <w:tc>
          <w:tcPr>
            <w:tcW w:w="3081" w:type="dxa"/>
            <w:vMerge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</w:p>
        </w:tc>
      </w:tr>
      <w:tr w:rsidR="0096509E" w:rsidRPr="0096509E" w:rsidTr="007F0A0C">
        <w:tc>
          <w:tcPr>
            <w:tcW w:w="3114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  <w:cs/>
              </w:rPr>
            </w:pPr>
            <w:r w:rsidRPr="0096509E">
              <w:rPr>
                <w:rFonts w:eastAsia="Calibri"/>
                <w:cs/>
              </w:rPr>
              <w:t>4) ความตกลงการค้าเสรีอาเซียน - เกาหลี (</w:t>
            </w:r>
            <w:r w:rsidRPr="0096509E">
              <w:rPr>
                <w:rFonts w:eastAsia="Calibri"/>
              </w:rPr>
              <w:t xml:space="preserve">ASEAN </w:t>
            </w:r>
            <w:r w:rsidRPr="0096509E">
              <w:rPr>
                <w:rFonts w:eastAsia="Calibri"/>
                <w:cs/>
              </w:rPr>
              <w:t xml:space="preserve">- </w:t>
            </w:r>
            <w:r w:rsidRPr="0096509E">
              <w:rPr>
                <w:rFonts w:eastAsia="Calibri"/>
              </w:rPr>
              <w:t>Republic of Korea Free Trade Agreement</w:t>
            </w:r>
            <w:r w:rsidRPr="0096509E">
              <w:rPr>
                <w:rFonts w:eastAsia="Calibri"/>
                <w:cs/>
              </w:rPr>
              <w:t xml:space="preserve">: </w:t>
            </w:r>
            <w:r w:rsidRPr="0096509E">
              <w:rPr>
                <w:rFonts w:eastAsia="Calibri"/>
              </w:rPr>
              <w:t>AKFTA</w:t>
            </w:r>
            <w:r w:rsidRPr="0096509E">
              <w:rPr>
                <w:rFonts w:eastAsia="Calibri"/>
                <w:cs/>
              </w:rPr>
              <w:t xml:space="preserve">) </w:t>
            </w:r>
          </w:p>
        </w:tc>
        <w:tc>
          <w:tcPr>
            <w:tcW w:w="992" w:type="dxa"/>
            <w:vMerge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0</w:t>
            </w:r>
          </w:p>
        </w:tc>
        <w:tc>
          <w:tcPr>
            <w:tcW w:w="1276" w:type="dxa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143</w:t>
            </w:r>
          </w:p>
        </w:tc>
        <w:tc>
          <w:tcPr>
            <w:tcW w:w="3081" w:type="dxa"/>
            <w:vMerge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</w:p>
        </w:tc>
      </w:tr>
      <w:tr w:rsidR="0096509E" w:rsidRPr="0096509E" w:rsidTr="007F0A0C">
        <w:tc>
          <w:tcPr>
            <w:tcW w:w="3114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  <w:cs/>
              </w:rPr>
            </w:pPr>
            <w:r w:rsidRPr="0096509E">
              <w:rPr>
                <w:rFonts w:eastAsia="Calibri"/>
                <w:cs/>
              </w:rPr>
              <w:t>5) ความตกลงหุ้นส่วนเศรษฐกิจอาเซียน - ญี่ปุ่น (</w:t>
            </w:r>
            <w:r w:rsidRPr="0096509E">
              <w:rPr>
                <w:rFonts w:eastAsia="Calibri"/>
              </w:rPr>
              <w:t xml:space="preserve">ASEAN </w:t>
            </w:r>
            <w:r w:rsidRPr="0096509E">
              <w:rPr>
                <w:rFonts w:eastAsia="Calibri"/>
                <w:cs/>
              </w:rPr>
              <w:t xml:space="preserve">- </w:t>
            </w:r>
            <w:r w:rsidRPr="0096509E">
              <w:rPr>
                <w:rFonts w:eastAsia="Calibri"/>
              </w:rPr>
              <w:t>Japan Comprehensive Economic Partnership</w:t>
            </w:r>
            <w:r w:rsidRPr="0096509E">
              <w:rPr>
                <w:rFonts w:eastAsia="Calibri"/>
                <w:cs/>
              </w:rPr>
              <w:t xml:space="preserve">: </w:t>
            </w:r>
            <w:r w:rsidRPr="0096509E">
              <w:rPr>
                <w:rFonts w:eastAsia="Calibri"/>
              </w:rPr>
              <w:t>AJCEP</w:t>
            </w:r>
            <w:r w:rsidRPr="0096509E">
              <w:rPr>
                <w:rFonts w:eastAsia="Calibri"/>
                <w:cs/>
              </w:rPr>
              <w:t>) (เฉพาะน้ำมันเนื้อในเมล็ดปาล์ม)</w:t>
            </w:r>
          </w:p>
        </w:tc>
        <w:tc>
          <w:tcPr>
            <w:tcW w:w="992" w:type="dxa"/>
            <w:vMerge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0</w:t>
            </w:r>
          </w:p>
        </w:tc>
        <w:tc>
          <w:tcPr>
            <w:tcW w:w="1276" w:type="dxa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143</w:t>
            </w:r>
          </w:p>
        </w:tc>
        <w:tc>
          <w:tcPr>
            <w:tcW w:w="3081" w:type="dxa"/>
            <w:vMerge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</w:p>
        </w:tc>
      </w:tr>
      <w:tr w:rsidR="0096509E" w:rsidRPr="0096509E" w:rsidTr="007F0A0C">
        <w:tc>
          <w:tcPr>
            <w:tcW w:w="3114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  <w:cs/>
              </w:rPr>
            </w:pPr>
            <w:r w:rsidRPr="0096509E">
              <w:rPr>
                <w:rFonts w:eastAsia="Calibri"/>
                <w:cs/>
              </w:rPr>
              <w:t>6) เขตการค้าเสรีอาเซียน (</w:t>
            </w:r>
            <w:r w:rsidRPr="0096509E">
              <w:rPr>
                <w:rFonts w:eastAsia="Calibri"/>
              </w:rPr>
              <w:t>ASEAN Free Trade Area</w:t>
            </w:r>
            <w:r w:rsidRPr="0096509E">
              <w:rPr>
                <w:rFonts w:eastAsia="Calibri"/>
                <w:cs/>
              </w:rPr>
              <w:t xml:space="preserve">: </w:t>
            </w:r>
            <w:r w:rsidRPr="0096509E">
              <w:rPr>
                <w:rFonts w:eastAsia="Calibri"/>
              </w:rPr>
              <w:t>AFTA</w:t>
            </w:r>
            <w:r w:rsidRPr="0096509E">
              <w:rPr>
                <w:rFonts w:eastAsia="Calibri"/>
                <w:cs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0</w:t>
            </w:r>
          </w:p>
        </w:tc>
        <w:tc>
          <w:tcPr>
            <w:tcW w:w="3081" w:type="dxa"/>
            <w:vMerge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</w:p>
        </w:tc>
      </w:tr>
      <w:tr w:rsidR="0096509E" w:rsidRPr="0096509E" w:rsidTr="007F0A0C">
        <w:tc>
          <w:tcPr>
            <w:tcW w:w="3114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7) </w:t>
            </w:r>
            <w:r w:rsidRPr="0096509E">
              <w:rPr>
                <w:rFonts w:eastAsia="Calibri"/>
              </w:rPr>
              <w:t>TAFTA</w:t>
            </w:r>
          </w:p>
        </w:tc>
        <w:tc>
          <w:tcPr>
            <w:tcW w:w="992" w:type="dxa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96509E">
              <w:rPr>
                <w:rFonts w:eastAsia="Calibri"/>
                <w:cs/>
              </w:rPr>
              <w:t>เสรี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0</w:t>
            </w:r>
          </w:p>
        </w:tc>
        <w:tc>
          <w:tcPr>
            <w:tcW w:w="3081" w:type="dxa"/>
            <w:vMerge w:val="restart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ไม่ต้องขออนุญาตนำเข้า ไม่ต้องปฏิบัติตามมาตรการการบริหารการนำเข้า</w:t>
            </w:r>
          </w:p>
        </w:tc>
      </w:tr>
      <w:tr w:rsidR="0096509E" w:rsidRPr="0096509E" w:rsidTr="007F0A0C">
        <w:tc>
          <w:tcPr>
            <w:tcW w:w="3114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</w:rPr>
              <w:t>8</w:t>
            </w:r>
            <w:r w:rsidRPr="0096509E">
              <w:rPr>
                <w:rFonts w:eastAsia="Calibri"/>
                <w:cs/>
              </w:rPr>
              <w:t xml:space="preserve">) </w:t>
            </w:r>
            <w:r w:rsidRPr="0096509E">
              <w:rPr>
                <w:rFonts w:eastAsia="Calibri"/>
              </w:rPr>
              <w:t>TNZCEP</w:t>
            </w:r>
          </w:p>
        </w:tc>
        <w:tc>
          <w:tcPr>
            <w:tcW w:w="992" w:type="dxa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เสรี</w:t>
            </w:r>
          </w:p>
        </w:tc>
        <w:tc>
          <w:tcPr>
            <w:tcW w:w="2410" w:type="dxa"/>
            <w:gridSpan w:val="2"/>
            <w:vMerge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</w:p>
        </w:tc>
        <w:tc>
          <w:tcPr>
            <w:tcW w:w="3081" w:type="dxa"/>
            <w:vMerge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</w:p>
        </w:tc>
      </w:tr>
    </w:tbl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ทั้งนี้ ทุกความตกลงสามารถนำเข้าด่านที่กำหนดตามประกาศ พณ. เรื่อง กำหนดให้น้ำมันปาล์ม เปิดตลาดน้ำมันปาล์มและน้ำมันเนื้อในเมล็ดปาล์ม และบริหารการนำเข้า คราวละ 3 ปี เป็นการดำเนินการตามพันธกรณี และไม่ขัดกับข้อผูกพันตามความตกลงการค้าระหว่างประเทศ รวมทั้งเป็นไปตามแนวทางเดิมเช่นเดียวกับการเปิดตลาดน้ำมันปาล์มและน้ำมันเนื้อในเมล็ดปาล์มและบริหารการนำเข้า ปี 2563 - 2565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</w:rPr>
        <w:t>___________________________________</w:t>
      </w:r>
    </w:p>
    <w:p w:rsidR="0096509E" w:rsidRPr="00260D26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260D26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260D26">
        <w:rPr>
          <w:rFonts w:ascii="TH SarabunPSK" w:eastAsia="Calibri" w:hAnsi="TH SarabunPSK" w:cs="TH SarabunPSK"/>
          <w:sz w:val="28"/>
          <w:cs/>
        </w:rPr>
        <w:t xml:space="preserve"> ทั้งนี้ ฝ่ายเลขา กนป. แจ้งข้อมูลเพิ่มเติมว่า การบริหารโควตาการนำเข้าและอัตราภาษีสำหรับปี 2566 - 2568 ยังคงดำเนินการเช่นเดียวกับการบริหารโควตาการนำเข้าและอัตราภาษีในปี 2562 - 2565 ที่ผ่านมา ซึ่งอยู่ภายใต้กรอบความตกลงด้านการค้าระหว่างประเทศที่ไทยมีข้อผูกพันทุกฉบับ ทั้งนี้ ในส่วนของความตกลง </w:t>
      </w:r>
      <w:r w:rsidRPr="00260D26">
        <w:rPr>
          <w:rFonts w:ascii="TH SarabunPSK" w:eastAsia="Calibri" w:hAnsi="TH SarabunPSK" w:cs="TH SarabunPSK"/>
          <w:sz w:val="28"/>
        </w:rPr>
        <w:t xml:space="preserve">TAFTA </w:t>
      </w:r>
      <w:r w:rsidRPr="00260D26">
        <w:rPr>
          <w:rFonts w:ascii="TH SarabunPSK" w:eastAsia="Calibri" w:hAnsi="TH SarabunPSK" w:cs="TH SarabunPSK"/>
          <w:sz w:val="28"/>
          <w:cs/>
        </w:rPr>
        <w:t xml:space="preserve">และความตกลง </w:t>
      </w:r>
      <w:r w:rsidRPr="00260D26">
        <w:rPr>
          <w:rFonts w:ascii="TH SarabunPSK" w:eastAsia="Calibri" w:hAnsi="TH SarabunPSK" w:cs="TH SarabunPSK"/>
          <w:sz w:val="28"/>
        </w:rPr>
        <w:t xml:space="preserve">TNZCEP </w:t>
      </w:r>
      <w:r w:rsidRPr="00260D26">
        <w:rPr>
          <w:rFonts w:ascii="TH SarabunPSK" w:eastAsia="Calibri" w:hAnsi="TH SarabunPSK" w:cs="TH SarabunPSK"/>
          <w:sz w:val="28"/>
          <w:cs/>
        </w:rPr>
        <w:t>ที่เปิดเสรีโดยมิได้มีการกำหนดโควตาและไม่ต้องขออนุญาตนำเข้านั้น ยังไม่เคยมีการนำเข้าแต่อย่างใดเนื่องจากทั้งสองประเทศไม่ใช่ประเทศผู้ผลิตและส่งออกน้ำมันปาล์ม</w:t>
      </w:r>
    </w:p>
    <w:p w:rsidR="002F77E3" w:rsidRPr="007F0A0C" w:rsidRDefault="002F77E3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96509E" w:rsidRPr="0096509E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17. </w:t>
      </w:r>
      <w:r w:rsidR="0096509E"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การกำหนดสินค้าควบคุมตามพระราชบัญญัติว่าด้วยราคาสินค้าและบริการ พ.ศ. 2542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คณะรัฐมนตรีมีมติเห็นชอบตามที่กระทรวงพาณิชย์ (พณ.) เสนอการกำหนดสินค้าควบคุมปี 2566 จำนวน 5 รายการ ได้แก่ 1. หน้ากากอนามัย 2. ใยสังเคราะห์ </w:t>
      </w:r>
      <w:r w:rsidRPr="0096509E">
        <w:rPr>
          <w:rFonts w:ascii="TH SarabunPSK" w:eastAsia="Calibri" w:hAnsi="TH SarabunPSK" w:cs="TH SarabunPSK"/>
          <w:sz w:val="32"/>
          <w:szCs w:val="32"/>
        </w:rPr>
        <w:t xml:space="preserve">Polypropylene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6509E">
        <w:rPr>
          <w:rFonts w:ascii="TH SarabunPSK" w:eastAsia="Calibri" w:hAnsi="TH SarabunPSK" w:cs="TH SarabunPSK"/>
          <w:sz w:val="32"/>
          <w:szCs w:val="32"/>
        </w:rPr>
        <w:t>Spunbond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) เพื่อใช้ในการผลิตหน้ากากอนามัย 3. ผลิตภัณฑ์ที่มีแอลกอฮอล์เป็นส่วนประกอบเพื่อสุขอนามัยสำหรับมือ 4. เศษกระดาษ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และกระดาษที่นำกลับมาใช้ได้อีก และ 5. ไก่ เนื้อไก่ ตามมติคณะกรรมการกลางว่าด้วยราคาสินค้าและบริการ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ครั้งที่ 1/2566 เมื่อวันพุธที่ 11 มกราคม 2566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พณ. เสนอว่า ประกาศคณะกรรมการกลางว่าด้วยราคาสินค้าและบริการ ฉบับที่ 5 พ.ศ. 2565 เรื่อง การกำหนดสินค้าควบคุมเพิ่มเติม จะสิ้นสุดการบังคับใช้ในวันที่ 24 มกราคม พ.ศ. 2566 ทั้งนี้ เพื่อให้เกิดความ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ต่อเนื่อง จึงมีความจำเป็นต้องออกประกาศใหม่ โดยต้องได้รับความเห็นชอบจากคณะรัฐมนตรีก่อน และนำลงประกาศราชกิจจานุเบกษาก่อนวันสิ้นสุดผลการบังคับใช้ รวมทั้งกำหนดมาตรการกำกับดูแลสินค้าควบคุมให้มีกำหนดระยะเวลาต่อเนื่องในการบังคับใช้ จึงเห็นควรกำหนดสินค้าควบคุม โดยมีรายละเอียดดังนี้ 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>1. เนื่องจากสถานการณ์การแพร่ระบาดของโรคติดเชื้อไวรัสโควิด-19 ยังมีการแพร่ระบาดอย่าง</w:t>
      </w:r>
      <w:r w:rsidRPr="00260D26">
        <w:rPr>
          <w:rFonts w:ascii="TH SarabunPSK" w:eastAsia="Calibri" w:hAnsi="TH SarabunPSK" w:cs="TH SarabunPSK"/>
          <w:spacing w:val="-4"/>
          <w:sz w:val="32"/>
          <w:szCs w:val="32"/>
          <w:cs/>
        </w:rPr>
        <w:t>ต่อเนื่อง เพื่อให้การกำกับดูแล ติดตาม ผลิตภัณฑ์ที่เกี่ยวข้องกับการป้องกันการแพร่ระบาดของโรคติดเชื้อไวรัสโควิด-19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 เป็นไปอย่างมีประสิทธิภาพมีปริมาณเพียงพอ และมีราคาอยู่ในเกณฑ์ที่เหมาะสม จึงเห็นควรกำหนดสินค้าควบคุม จำนวน 3 รายการ คือ 1) หน้ากากอนามัย 2) ใยสังเคราะห์ </w:t>
      </w:r>
      <w:r w:rsidRPr="0096509E">
        <w:rPr>
          <w:rFonts w:ascii="TH SarabunPSK" w:eastAsia="Calibri" w:hAnsi="TH SarabunPSK" w:cs="TH SarabunPSK"/>
          <w:sz w:val="32"/>
          <w:szCs w:val="32"/>
        </w:rPr>
        <w:t xml:space="preserve">Polypropylene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6509E">
        <w:rPr>
          <w:rFonts w:ascii="TH SarabunPSK" w:eastAsia="Calibri" w:hAnsi="TH SarabunPSK" w:cs="TH SarabunPSK"/>
          <w:sz w:val="32"/>
          <w:szCs w:val="32"/>
        </w:rPr>
        <w:t>Spunbond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) เพื่อใช้ในการผลิตหน้ากากอนามัย และ 3) ผลิตภัณฑ์ที่มีแอลกอฮอล์เป็นส่วนประกอบเพื่อสุขอนามัยสำหรับมือ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>2. เศษกระดาษ และกระดาษที่นำกลับมาใช้ได้อีก เป็นสินค้าควบคุม เพื่อให้การกำกับดูแลปริมาณและราคารับซื้อเศษกระดาษ และกระดาษที่นำกลับมาใช้ได้อีกให้อยู่ในเกณฑ์ที่เหมาะสมเป็นธรรม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>3. ไก่ เนื้อไก่ เป็นสินค้าควบคุม เพื่อให้การกำกับดูแล ติดตาม ปริมาณไก่ เนื้อไก่ที่เป็นแหล่งโปรตีนที่สำคัญต่อการบริโภคของประชาชนมีอย่างเพียงพอ และราคาอยู่ในเกณฑ์ที่เหมาะสมเป็นธรรม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 xml:space="preserve">ในคราวประชุมคณะกรรมการกลางว่าด้วยราคาสินค้าและบริการ ครั้งที่ 1/2566 เมื่อวันพุธที่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11 มกราคม 2566 โดยมีรัฐมนตรีว่าการกระทรวงพาณิชย์เป็นประธาน ได้มีมติเห็นชอบกำหนดสินค้าควบคุม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="00260D26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5 รายการ ได้แก่ 1) หน้ากากอนามัย 2) ใยสังเคราะห์ </w:t>
      </w:r>
      <w:r w:rsidRPr="0096509E">
        <w:rPr>
          <w:rFonts w:ascii="TH SarabunPSK" w:eastAsia="Calibri" w:hAnsi="TH SarabunPSK" w:cs="TH SarabunPSK"/>
          <w:sz w:val="32"/>
          <w:szCs w:val="32"/>
        </w:rPr>
        <w:t xml:space="preserve">Polypropylene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6509E">
        <w:rPr>
          <w:rFonts w:ascii="TH SarabunPSK" w:eastAsia="Calibri" w:hAnsi="TH SarabunPSK" w:cs="TH SarabunPSK"/>
          <w:sz w:val="32"/>
          <w:szCs w:val="32"/>
        </w:rPr>
        <w:t>Spunbond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) เพื่อใช้ในการผลิตหน้ากากอนามัย 3) ผลิตภัณฑ์ที่มีแอลกอฮอล์เป็นส่วนประกอบเพื่อสุขอนามัยสำหรับมือ 4) เศษกระดาษ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และกระดาษที่นำกลับมาใช้ได้อีก และ 5) ไก่ เนื้อไก่ เพื่อกำหนดมาตรการกำกับดูแลให้สินค้ามีปริมาณเพียงพอ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และราคาอยู่ในเกณฑ์ที่เหมาะสมเป็นธรรมต่อประชาชนผู้บริโภค</w:t>
      </w:r>
    </w:p>
    <w:p w:rsidR="0096509E" w:rsidRPr="007F0A0C" w:rsidRDefault="0096509E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D2635" w:rsidRPr="007F0A0C" w:rsidTr="002F77E3">
        <w:tc>
          <w:tcPr>
            <w:tcW w:w="9820" w:type="dxa"/>
          </w:tcPr>
          <w:p w:rsidR="002D2635" w:rsidRPr="007F0A0C" w:rsidRDefault="002D2635" w:rsidP="007F0A0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EB3631" w:rsidRPr="007F0A0C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18. </w:t>
      </w:r>
      <w:r w:rsidR="00EB3631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การรับรองแผนพัฒนาร่วมระหว่างยุทธศาสตร์ความร่วมมือทางเศรษฐกิจอิรวดี-เจ้าพระยา-แม่โขง</w:t>
      </w:r>
      <w:r w:rsidR="00023E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</w:t>
      </w:r>
      <w:r w:rsidR="00EB3631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กับหุ้นส่วนเพื่อการพัฒนา </w:t>
      </w:r>
    </w:p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คณะรัฐมนตรีรับทราบตามที่กระทรวงการต่างประเทศ (กต.) เสนอแผนพัฒนาร่วมระหว่างยุทธศาสตร์ความร่วมมือทางเศรษฐกิจอิรวดี-เจ้าพระยา-แม่โขง (</w:t>
      </w:r>
      <w:r w:rsidRPr="007F0A0C">
        <w:rPr>
          <w:rFonts w:ascii="TH SarabunPSK" w:eastAsia="Calibri" w:hAnsi="TH SarabunPSK" w:cs="TH SarabunPSK"/>
          <w:sz w:val="32"/>
          <w:szCs w:val="32"/>
        </w:rPr>
        <w:t>ACMECS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) กับสาธารณรัฐประชาชนจีน (จีน)       และแผนพัฒนาร่วมระหว่าง </w:t>
      </w:r>
      <w:r w:rsidRPr="007F0A0C">
        <w:rPr>
          <w:rFonts w:ascii="TH SarabunPSK" w:eastAsia="Calibri" w:hAnsi="TH SarabunPSK" w:cs="TH SarabunPSK"/>
          <w:sz w:val="32"/>
          <w:szCs w:val="32"/>
        </w:rPr>
        <w:t>ACMECS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กับสาธารณรัฐอินเดีย (อินเดีย) [เป็นการดำเนินการตามมติคณะรัฐมนตรี          (</w:t>
      </w:r>
      <w:r w:rsidRPr="007F0A0C">
        <w:rPr>
          <w:rFonts w:ascii="TH SarabunPSK" w:eastAsia="Calibri" w:hAnsi="TH SarabunPSK" w:cs="TH SarabunPSK"/>
          <w:sz w:val="32"/>
          <w:szCs w:val="32"/>
        </w:rPr>
        <w:t>15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 </w:t>
      </w:r>
      <w:r w:rsidRPr="007F0A0C">
        <w:rPr>
          <w:rFonts w:ascii="TH SarabunPSK" w:eastAsia="Calibri" w:hAnsi="TH SarabunPSK" w:cs="TH SarabunPSK"/>
          <w:sz w:val="32"/>
          <w:szCs w:val="32"/>
        </w:rPr>
        <w:t>2565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) ที่เห็นชอบต่อร่างแผนพัฒนาร่วมระหว่าง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ACMECS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กับหุ้นส่วนเพื่อการพัฒนาของ </w:t>
      </w:r>
      <w:r w:rsidRPr="007F0A0C">
        <w:rPr>
          <w:rFonts w:ascii="TH SarabunPSK" w:eastAsia="Calibri" w:hAnsi="TH SarabunPSK" w:cs="TH SarabunPSK"/>
          <w:sz w:val="32"/>
          <w:szCs w:val="32"/>
        </w:rPr>
        <w:t>ACMECS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กลุ่มที่ </w:t>
      </w:r>
      <w:r w:rsidRPr="007F0A0C">
        <w:rPr>
          <w:rFonts w:ascii="TH SarabunPSK" w:eastAsia="Calibri" w:hAnsi="TH SarabunPSK" w:cs="TH SarabunPSK"/>
          <w:sz w:val="32"/>
          <w:szCs w:val="32"/>
        </w:rPr>
        <w:t>1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รายประเทศ (เครือรัฐออสเตรเลีย จีน อินเดีย ญี่ปุ่น สาธารณรัฐเกาหลี และสหรัฐอเมริกา) จำนวน </w:t>
      </w:r>
      <w:r w:rsidRPr="007F0A0C">
        <w:rPr>
          <w:rFonts w:ascii="TH SarabunPSK" w:eastAsia="Calibri" w:hAnsi="TH SarabunPSK" w:cs="TH SarabunPSK"/>
          <w:sz w:val="32"/>
          <w:szCs w:val="32"/>
        </w:rPr>
        <w:t>6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ฉบับ และหากมีความจำเป็นต้องปรับเปลี่ยนร่างแผนพัฒนาร่วมฯ ในส่วนที่ไม่ใช่สาระสำคัญและไม่ขัดกับหลักการที่คณะรัฐมนตรีเห็นชอบไว้ ให้กระทรวงการต่างประเทศ (กต.) ดำเนินการได้ โดยให้เสนอคณะรัฐมนตรีทราบภายหลัง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พร้อมทั้งชี้แจงเหตุผลและประโยชน์ที่ไทยได้รับจากการปรับเปลี่ยนดังกล่าว] โดยเมื่อวันที่ 21 พฤศจิกายน 2565      ที่ประชุมเจ้าหน้าที่อาวุโส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ACMECS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กับหุ้นส่วนเพื่อการพัฒนาได้มีการหารือแนวทางการดำเนินการความร่วมมือระหว่าง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ACMECS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กับหุ้นส่วนเพื่อการพัฒนาและมีการรับรองแผนพัฒนาร่วมระหว่าง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ACMECS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กับหุ้นส่วนเพื่อการพัฒนา กลุ่มที่ </w:t>
      </w:r>
      <w:r w:rsidRPr="007F0A0C">
        <w:rPr>
          <w:rFonts w:ascii="TH SarabunPSK" w:eastAsia="Calibri" w:hAnsi="TH SarabunPSK" w:cs="TH SarabunPSK"/>
          <w:sz w:val="32"/>
          <w:szCs w:val="32"/>
        </w:rPr>
        <w:t>1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รายประเทศ จำนวน </w:t>
      </w:r>
      <w:r w:rsidRPr="007F0A0C">
        <w:rPr>
          <w:rFonts w:ascii="TH SarabunPSK" w:eastAsia="Calibri" w:hAnsi="TH SarabunPSK" w:cs="TH SarabunPSK"/>
          <w:sz w:val="32"/>
          <w:szCs w:val="32"/>
        </w:rPr>
        <w:t>6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ฉบับ ทั้งนี้ ได้มีการเจรจาปรับแก้ถ้อยคำเพิ่มเติมในร่างแผนพัฒนาร่วมฯ จำนวน </w:t>
      </w:r>
      <w:r w:rsidRPr="007F0A0C">
        <w:rPr>
          <w:rFonts w:ascii="TH SarabunPSK" w:eastAsia="Calibri" w:hAnsi="TH SarabunPSK" w:cs="TH SarabunPSK"/>
          <w:sz w:val="32"/>
          <w:szCs w:val="32"/>
        </w:rPr>
        <w:t>2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ฉบับ ได้แก่ ร่างแผนพัฒนาร่วมฯ กับจีน และร่างแผนพัฒนาร่วมฯ กับอินเดีย ซึ่งกระทรวงการต่างประเทศ (กต.) พิจารณาแล้วเห็นว่า ข้อความที่ปรับแก้ไม่ขัดต่อผลประโยชน์ของไทย สาระสำคัญสรุปได้ ดังนี้</w:t>
      </w:r>
    </w:p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ร่างแผนพัฒนาร่วมฯ กับจีน</w:t>
      </w:r>
    </w:p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1.1 จีนเสนอเพิ่มถ้อยคำให้การดำเนินการของ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ACMECS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ส่งเสริมข้อริเริ่มสายแถบและเส้นทาง (</w:t>
      </w:r>
      <w:r w:rsidRPr="007F0A0C">
        <w:rPr>
          <w:rFonts w:ascii="TH SarabunPSK" w:eastAsia="Calibri" w:hAnsi="TH SarabunPSK" w:cs="TH SarabunPSK"/>
          <w:sz w:val="32"/>
          <w:szCs w:val="32"/>
        </w:rPr>
        <w:t>Belt and Road Initiative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F0A0C">
        <w:rPr>
          <w:rFonts w:ascii="TH SarabunPSK" w:eastAsia="Calibri" w:hAnsi="TH SarabunPSK" w:cs="TH SarabunPSK"/>
          <w:sz w:val="32"/>
          <w:szCs w:val="32"/>
        </w:rPr>
        <w:t>BRI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) และกรอบความร่วมมือแม่โขง-ล้านช้าง (</w:t>
      </w:r>
      <w:r w:rsidRPr="007F0A0C">
        <w:rPr>
          <w:rFonts w:ascii="TH SarabunPSK" w:eastAsia="Calibri" w:hAnsi="TH SarabunPSK" w:cs="TH SarabunPSK"/>
          <w:sz w:val="32"/>
          <w:szCs w:val="32"/>
        </w:rPr>
        <w:t>Mekong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7F0A0C">
        <w:rPr>
          <w:rFonts w:ascii="TH SarabunPSK" w:eastAsia="Calibri" w:hAnsi="TH SarabunPSK" w:cs="TH SarabunPSK"/>
          <w:sz w:val="32"/>
          <w:szCs w:val="32"/>
        </w:rPr>
        <w:t>Langcang Cooperation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F0A0C">
        <w:rPr>
          <w:rFonts w:ascii="TH SarabunPSK" w:eastAsia="Calibri" w:hAnsi="TH SarabunPSK" w:cs="TH SarabunPSK"/>
          <w:sz w:val="32"/>
          <w:szCs w:val="32"/>
        </w:rPr>
        <w:t>MLC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) โดยประเทศสมาชิก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ACMECS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และจีนเจรจาได้ข้อสรุปให้ปรับถ้อยคำจาก การที่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ACMECS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ส่งเสริม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BRI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MLC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เป็น การเสริมสร้างการสอดประสานระหว่างกันของ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ACMECS BRI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MLC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แทน</w:t>
      </w:r>
    </w:p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>1.2 จีนขอตัดถ้อยคำเกี่ยวกับรายการโครงการที่มีความสำคัญลำดับต้น (</w:t>
      </w:r>
      <w:r w:rsidRPr="007F0A0C">
        <w:rPr>
          <w:rFonts w:ascii="TH SarabunPSK" w:eastAsia="Calibri" w:hAnsi="TH SarabunPSK" w:cs="TH SarabunPSK"/>
          <w:sz w:val="32"/>
          <w:szCs w:val="32"/>
        </w:rPr>
        <w:t>List of Prioritized Projects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F0A0C">
        <w:rPr>
          <w:rFonts w:ascii="TH SarabunPSK" w:eastAsia="Calibri" w:hAnsi="TH SarabunPSK" w:cs="TH SarabunPSK"/>
          <w:sz w:val="32"/>
          <w:szCs w:val="32"/>
        </w:rPr>
        <w:t>LOPP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) ของ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ACMECS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และขอไม่ให้บรรจุ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LOPP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เป็นภาคผนวกของแผนพัฒนาร่วมฯ กับจีน </w:t>
      </w:r>
      <w:r w:rsidRPr="007F0A0C">
        <w:rPr>
          <w:rFonts w:ascii="TH SarabunPSK" w:eastAsia="Calibri" w:hAnsi="TH SarabunPSK" w:cs="TH SarabunPSK"/>
          <w:spacing w:val="-4"/>
          <w:sz w:val="32"/>
          <w:szCs w:val="32"/>
          <w:cs/>
        </w:rPr>
        <w:t>เนื่องจากจีน</w:t>
      </w:r>
      <w:r w:rsidR="0020153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 </w:t>
      </w:r>
      <w:r w:rsidRPr="007F0A0C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มีข้อจำกัดว่า หากจีนเห็นชอบและรับรองเอกสารระหว่างประเทศใด ๆ แล้ว เอกสารนั้นจะมีผลผูกพันกับจีน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ซึ่งรวมถึงการรับรายการโครงการ </w:t>
      </w:r>
      <w:r w:rsidRPr="007F0A0C">
        <w:rPr>
          <w:rFonts w:ascii="TH SarabunPSK" w:eastAsia="Calibri" w:hAnsi="TH SarabunPSK" w:cs="TH SarabunPSK"/>
          <w:sz w:val="32"/>
          <w:szCs w:val="32"/>
        </w:rPr>
        <w:t>LOPP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โดยประเทศสมาชิก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ACMECS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และจีนเจรจาได้ข้อสรุปไม่ขัดข้องต่อข้อเสนอของจีนและให้เพิ่มถ้อยคำที่ระบุว่า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ACMECS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ยังสามารถเสนอ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LOPP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ให้จีนพิจารณาให้การสนับสนุนต่อไปได้</w:t>
      </w:r>
    </w:p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1.3 จีนขอเพิ่มถ้อยคำให้ </w:t>
      </w:r>
      <w:r w:rsidRPr="007F0A0C">
        <w:rPr>
          <w:rFonts w:ascii="TH SarabunPSK" w:eastAsia="Calibri" w:hAnsi="TH SarabunPSK" w:cs="TH SarabunPSK"/>
          <w:sz w:val="32"/>
          <w:szCs w:val="32"/>
        </w:rPr>
        <w:t>ACMECS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ส่งเสริมข้อริเริ่มด้านการพัฒนาระดับโลก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F0A0C">
        <w:rPr>
          <w:rFonts w:ascii="TH SarabunPSK" w:eastAsia="Calibri" w:hAnsi="TH SarabunPSK" w:cs="TH SarabunPSK"/>
          <w:sz w:val="32"/>
          <w:szCs w:val="32"/>
        </w:rPr>
        <w:t>Global Development Initiative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F0A0C">
        <w:rPr>
          <w:rFonts w:ascii="TH SarabunPSK" w:eastAsia="Calibri" w:hAnsi="TH SarabunPSK" w:cs="TH SarabunPSK"/>
          <w:sz w:val="32"/>
          <w:szCs w:val="32"/>
        </w:rPr>
        <w:t>GDI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) ของจีน โดยประเทศสมาชิก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ACMECS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ไม่ขัดข้องและเสนอถ้อยคำให้รวมถึงข้อริเริ่มอื่น ๆ ที่เกี่ยวข้องกับการพัฒนาที่ยั่งยืนในกรอบอนุภูมิภาค/ภูมิภาคด้วย</w:t>
      </w:r>
    </w:p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ร่างแผนพัฒนาร่วมฯ กับอินเดีย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โดยอินเดียขอเพิ่มถ้อยคำให้ชัดเจนยิ่งขึ้นที่สะท้อนว่าอินเดีย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จะมีบทบาทในการพิจารณาว่าจะสนับสนุนโครงการใดของ </w:t>
      </w:r>
      <w:r w:rsidRPr="007F0A0C">
        <w:rPr>
          <w:rFonts w:ascii="TH SarabunPSK" w:eastAsia="Calibri" w:hAnsi="TH SarabunPSK" w:cs="TH SarabunPSK"/>
          <w:sz w:val="32"/>
          <w:szCs w:val="32"/>
        </w:rPr>
        <w:t>ACMECS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ซึ่งทั้งสองฝ่ายเจรจาได้ข้อสรุปว่า ให้อินเดียและ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ACMECS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ร่วมกันจัดทำรายการโครงการร่วมอินเดีย-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ACMECS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โดยคัดเลือกจากรายการโครงการใน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LOPP </w:t>
      </w:r>
      <w:r w:rsidR="00610449"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 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หรือสามารถริเริ่มโครงการใหม่ได้</w:t>
      </w:r>
    </w:p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>ทั้งนี้ กต. จะแจ้งให้หน่วยงานที่เกี่ยวข้องพิจารณาใช้ประโยชน์จากผลการประชุมดังกล่าวและรายละเอียดของแผนพัฒนาร่วมฯ ต่อไป</w:t>
      </w:r>
    </w:p>
    <w:p w:rsidR="00EB3631" w:rsidRPr="00E837AF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EB3631" w:rsidRPr="007F0A0C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19. </w:t>
      </w:r>
      <w:r w:rsidR="00EB3631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ผลการประชุมรัฐมนตรีด้านการศึกษาอาเซียน ครั้งที่ 12 และการประชุมที่เกี่ยวข้องและการเป็นประธานการประชุมด้านการศึกษาอาเซียน ระหว่างปี พ.ศ. </w:t>
      </w:r>
      <w:r w:rsidR="00EB3631" w:rsidRPr="007F0A0C">
        <w:rPr>
          <w:rFonts w:ascii="TH SarabunPSK" w:eastAsia="Calibri" w:hAnsi="TH SarabunPSK" w:cs="TH SarabunPSK"/>
          <w:b/>
          <w:bCs/>
          <w:sz w:val="32"/>
          <w:szCs w:val="32"/>
        </w:rPr>
        <w:t>2567</w:t>
      </w:r>
      <w:r w:rsidR="00EB3631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="00EB3631" w:rsidRPr="007F0A0C">
        <w:rPr>
          <w:rFonts w:ascii="TH SarabunPSK" w:eastAsia="Calibri" w:hAnsi="TH SarabunPSK" w:cs="TH SarabunPSK"/>
          <w:b/>
          <w:bCs/>
          <w:sz w:val="32"/>
          <w:szCs w:val="32"/>
        </w:rPr>
        <w:t>2568</w:t>
      </w:r>
    </w:p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0153E">
        <w:rPr>
          <w:rFonts w:ascii="TH SarabunPSK" w:eastAsia="Calibri" w:hAnsi="TH SarabunPSK" w:cs="TH SarabunPSK"/>
          <w:spacing w:val="-10"/>
          <w:sz w:val="32"/>
          <w:szCs w:val="32"/>
          <w:cs/>
        </w:rPr>
        <w:t xml:space="preserve">คณะรัฐมนตรีรับทราบตามที่กระทรวงศึกษาธิการ (ศธ.) เสนอผลการประชุมรัฐมนตรีด้านการศึกษาอาเซียน </w:t>
      </w:r>
      <w:r w:rsidRPr="0020153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ครั้งที่ </w:t>
      </w:r>
      <w:r w:rsidRPr="0020153E">
        <w:rPr>
          <w:rFonts w:ascii="TH SarabunPSK" w:eastAsia="Calibri" w:hAnsi="TH SarabunPSK" w:cs="TH SarabunPSK"/>
          <w:spacing w:val="-4"/>
          <w:sz w:val="32"/>
          <w:szCs w:val="32"/>
        </w:rPr>
        <w:t xml:space="preserve">12 </w:t>
      </w:r>
      <w:r w:rsidRPr="0020153E">
        <w:rPr>
          <w:rFonts w:ascii="TH SarabunPSK" w:eastAsia="Calibri" w:hAnsi="TH SarabunPSK" w:cs="TH SarabunPSK"/>
          <w:spacing w:val="-4"/>
          <w:sz w:val="32"/>
          <w:szCs w:val="32"/>
          <w:cs/>
        </w:rPr>
        <w:t>และการประชุมที่เกี่ยวข้อง ณ กรุงฮานอย สาธารณรัฐสังคมนิยมเวียดนาม ระหว่างวันที่</w:t>
      </w:r>
      <w:r w:rsidRPr="0020153E">
        <w:rPr>
          <w:rFonts w:ascii="TH SarabunPSK" w:eastAsia="Calibri" w:hAnsi="TH SarabunPSK" w:cs="TH SarabunPSK"/>
          <w:spacing w:val="-4"/>
          <w:sz w:val="32"/>
          <w:szCs w:val="32"/>
        </w:rPr>
        <w:t xml:space="preserve"> 11</w:t>
      </w:r>
      <w:r w:rsidRPr="0020153E">
        <w:rPr>
          <w:rFonts w:ascii="TH SarabunPSK" w:eastAsia="Calibri" w:hAnsi="TH SarabunPSK" w:cs="TH SarabunPSK"/>
          <w:spacing w:val="-4"/>
          <w:sz w:val="32"/>
          <w:szCs w:val="32"/>
          <w:cs/>
        </w:rPr>
        <w:t>-14 ตุลาคม 2565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โดยมีรัฐมนตรีว่าการกระทรวงศึกษาธิการเป็นหัวหน้าคณะผู้แทนไทยเข้าร่วมการประชุมฯ [คณะรัฐมนตรีมีมติ </w:t>
      </w:r>
      <w:r w:rsidR="0020153E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="00C0461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(11 ตุลาคม 2565) เห็นชอบร่างแถลงการณ์ร่วม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 3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ฉบับ ได้แก่ (1) ร่างแถลงการณ์ร่วมการประชุมรัฐมนตรีด้านการศึกษา ครั้งที่ 12 (2) ร่างแถลงการณ์ร่วมการประชุมรัฐมนตรีด้านการศึกษาอาเซียนบวกสาม</w:t>
      </w:r>
      <w:r w:rsidRPr="007F0A0C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1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ครั้งที่ 6 และ</w:t>
      </w:r>
      <w:r w:rsidR="0020153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837A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(3) ร่างแถลงการณ์ร่วมการประชุมสุดยอดเอเชียตะวันออกด้านการศึกษา</w:t>
      </w:r>
      <w:r w:rsidRPr="007F0A0C">
        <w:rPr>
          <w:rFonts w:ascii="TH SarabunPSK" w:eastAsia="Calibri" w:hAnsi="TH SarabunPSK" w:cs="TH SarabunPSK"/>
          <w:sz w:val="32"/>
          <w:szCs w:val="32"/>
          <w:vertAlign w:val="superscript"/>
        </w:rPr>
        <w:t>2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ครั้งที่ </w:t>
      </w:r>
      <w:r w:rsidRPr="007F0A0C">
        <w:rPr>
          <w:rFonts w:ascii="TH SarabunPSK" w:eastAsia="Calibri" w:hAnsi="TH SarabunPSK" w:cs="TH SarabunPSK"/>
          <w:sz w:val="32"/>
          <w:szCs w:val="32"/>
        </w:rPr>
        <w:t>6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รวมถึงอนุมัติให้รัฐมนตรีว่าการกระทรวงศึกษาธิการหรือผู้แทนให้ความเห็นชอบและรับรองร่างเอกสารดังกล่าว] และรับทราบการเป็นประธานการประชุมด้านการศึกษาอาเซียน ระหว่างปี พ.ศ. 2567 – 2568 และเป็นเจ้าภาพการจัดการประชุมรัฐมนตรีด้านการศึกษาอาเซียน ครั้งที่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 13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และการประชุมที่เกี่ยวข้อง ในปี พ.ศ. </w:t>
      </w:r>
      <w:r w:rsidRPr="007F0A0C">
        <w:rPr>
          <w:rFonts w:ascii="TH SarabunPSK" w:eastAsia="Calibri" w:hAnsi="TH SarabunPSK" w:cs="TH SarabunPSK"/>
          <w:sz w:val="32"/>
          <w:szCs w:val="32"/>
        </w:rPr>
        <w:t>2567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โดยผลการประชุมฯ สรุปสาระสำคัญได้ ดังนี้</w:t>
      </w:r>
    </w:p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ที่ประชุมฯ ได้มีการหารือเชิงนโยบายเกี่ยวกับการจัดการศึกษาและการพัฒนาทรัพยากรมนุษย์ในกรอบอาเซียน อาเซียนบวกสาม และอาเซียนกับประเทศคู่เจรจา และติดตาความก้าวหน้าการดำเนินกิจกรรม/โครงการภายใต้แผนงานด้านการศึกษาของอาเซียน พ.ศ. 2564 - 2568 แผนงานด้านการศึกษาของอาเซียนบวกสาม พ.ศ.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2561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- 2568 และแผนปฏิบัติการมะนิลา พ.ศ. 2561 - 2565 รวมทั้งร่วมกำหนดนโยบายเพื่อให้ผู้ปฏิบัติได้ยึดเป็นแนวทางขับเคลื่อนความร่วมมือด้านการศึกษาภายใต้กรอบต่าง ๆ อย่างมีประสิทธิภาพ</w:t>
      </w:r>
    </w:p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>2. รัฐมนตรีว่าการกระทรวงศึกษาธิการได้กล่าวถึงการเปลี่ยนแปลงของการศึกษาอันเนื่องมาจาก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โรคติดเชื้อไวรัสโคโรนา </w:t>
      </w:r>
      <w:r w:rsidRPr="007F0A0C">
        <w:rPr>
          <w:rFonts w:ascii="TH SarabunPSK" w:eastAsia="Calibri" w:hAnsi="TH SarabunPSK" w:cs="TH SarabunPSK"/>
          <w:sz w:val="32"/>
          <w:szCs w:val="32"/>
        </w:rPr>
        <w:t>2019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(โควิด-</w:t>
      </w:r>
      <w:r w:rsidRPr="007F0A0C">
        <w:rPr>
          <w:rFonts w:ascii="TH SarabunPSK" w:eastAsia="Calibri" w:hAnsi="TH SarabunPSK" w:cs="TH SarabunPSK"/>
          <w:sz w:val="32"/>
          <w:szCs w:val="32"/>
        </w:rPr>
        <w:t>19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) ที่มีการใช้เทคโนโลยีและดิจิทัลมากขึ้น รวมทั้งได้กล่าวถึงนโยบาย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ที่สอดคล้องกับแผนงานด้านการศึกษาของอาเซียนโดยเห็นว่าในอนาคตเทคโนโลยีจะเข้ามาเป็นส่วนหนึ่งของการพัฒนาประเทศ ซึ่ง ศธ. ได้มีโครงการต่าง ๆ เพื่อพัฒนาคนเก่ง คนดี และมีความสามารถ โดยมีการดำเนินนโยบาย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ที่สำคัญ ได้แก่ โรงเรียนคุณภาพ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Active Learning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พื้นที่นวัตกรรม พาน้องกลับมาเรียน อาชีวะอยู่ประจำเรียนฟรี และ </w:t>
      </w:r>
      <w:r w:rsidRPr="007F0A0C">
        <w:rPr>
          <w:rFonts w:ascii="TH SarabunPSK" w:eastAsia="Calibri" w:hAnsi="TH SarabunPSK" w:cs="TH SarabunPSK"/>
          <w:sz w:val="32"/>
          <w:szCs w:val="32"/>
        </w:rPr>
        <w:t>MOE Safety Center</w:t>
      </w:r>
    </w:p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</w:rPr>
        <w:tab/>
      </w:r>
      <w:r w:rsidRPr="007F0A0C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ที่ประชุมฯ ได้รับรองเอกสารผลลัพธ์การประชุมฯ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ฉบับ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906"/>
        <w:gridCol w:w="6688"/>
      </w:tblGrid>
      <w:tr w:rsidR="00EB3631" w:rsidRPr="007F0A0C" w:rsidTr="00EB3631">
        <w:tc>
          <w:tcPr>
            <w:tcW w:w="2943" w:type="dxa"/>
          </w:tcPr>
          <w:p w:rsidR="00EB3631" w:rsidRPr="007F0A0C" w:rsidRDefault="00EB3631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เอกสารผลลัพธ์</w:t>
            </w:r>
          </w:p>
        </w:tc>
        <w:tc>
          <w:tcPr>
            <w:tcW w:w="6804" w:type="dxa"/>
          </w:tcPr>
          <w:p w:rsidR="00EB3631" w:rsidRPr="007F0A0C" w:rsidRDefault="00EB3631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สาระสำคัญ เช่น</w:t>
            </w:r>
          </w:p>
        </w:tc>
      </w:tr>
      <w:tr w:rsidR="00EB3631" w:rsidRPr="007F0A0C" w:rsidTr="00EB3631">
        <w:tc>
          <w:tcPr>
            <w:tcW w:w="2943" w:type="dxa"/>
          </w:tcPr>
          <w:p w:rsidR="00EB3631" w:rsidRPr="007F0A0C" w:rsidRDefault="00EB3631" w:rsidP="007F0A0C">
            <w:pPr>
              <w:spacing w:line="320" w:lineRule="exact"/>
              <w:jc w:val="thaiDistribute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1. </w:t>
            </w:r>
            <w:r w:rsidRPr="007F0A0C">
              <w:rPr>
                <w:rFonts w:eastAsia="Calibri"/>
                <w:b/>
                <w:bCs/>
                <w:cs/>
              </w:rPr>
              <w:t>ร่างแถลงการณ์ร่วมการประชุมรัฐมนตรีด้านการศึกษาอาเซียน ครั้งที่ 12</w:t>
            </w:r>
          </w:p>
        </w:tc>
        <w:tc>
          <w:tcPr>
            <w:tcW w:w="6804" w:type="dxa"/>
          </w:tcPr>
          <w:p w:rsidR="00EB3631" w:rsidRPr="007F0A0C" w:rsidRDefault="00EB3631" w:rsidP="007F0A0C">
            <w:pPr>
              <w:spacing w:line="320" w:lineRule="exact"/>
              <w:jc w:val="thaiDistribute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รับทราบวิกฤตการเรียนรู้และผลกระทบต่อนักเรียนและผู้มีส่วนได้ส่วนเสียและขอให้อาเซียนเพิ่มความพยายามและจัดการกับวิกฤตด้วยแนวทางที่ครอบคลุมและยั่งยืน เช่น การเปลี่ยนแปลงทางดิจิทัลของระบบการศึกษาในอาเซียน </w:t>
            </w:r>
            <w:r w:rsidR="00260D26">
              <w:rPr>
                <w:rFonts w:eastAsia="Calibri" w:hint="cs"/>
                <w:cs/>
              </w:rPr>
              <w:t xml:space="preserve">   </w:t>
            </w:r>
            <w:r w:rsidRPr="007F0A0C">
              <w:rPr>
                <w:rFonts w:eastAsia="Calibri"/>
                <w:cs/>
              </w:rPr>
              <w:t>และการส่งเสริมประเด็นการเปลี่ยนแปลงสภาพภูมิอากาศและการพัฒนาที่ยั่งยืนผ่านการศึกษา</w:t>
            </w:r>
          </w:p>
        </w:tc>
      </w:tr>
      <w:tr w:rsidR="00EB3631" w:rsidRPr="007F0A0C" w:rsidTr="00EB3631">
        <w:tc>
          <w:tcPr>
            <w:tcW w:w="2943" w:type="dxa"/>
          </w:tcPr>
          <w:p w:rsidR="00EB3631" w:rsidRPr="007F0A0C" w:rsidRDefault="00EB3631" w:rsidP="007F0A0C">
            <w:pPr>
              <w:spacing w:line="320" w:lineRule="exact"/>
              <w:jc w:val="thaiDistribute"/>
              <w:rPr>
                <w:rFonts w:eastAsia="Calibri"/>
              </w:rPr>
            </w:pPr>
            <w:r w:rsidRPr="007F0A0C">
              <w:rPr>
                <w:rFonts w:eastAsia="Calibri"/>
                <w:b/>
                <w:bCs/>
                <w:cs/>
              </w:rPr>
              <w:t xml:space="preserve">2. ร่างแถลงการณ์ร่วมการประชุมรัฐมนตรีด้านการศึกษาอาเซียนบวกสาม ครั้งที่ </w:t>
            </w:r>
            <w:r w:rsidRPr="007F0A0C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6804" w:type="dxa"/>
          </w:tcPr>
          <w:p w:rsidR="00EB3631" w:rsidRPr="007F0A0C" w:rsidRDefault="00EB3631" w:rsidP="007F0A0C">
            <w:pPr>
              <w:spacing w:line="320" w:lineRule="exact"/>
              <w:jc w:val="thaiDistribute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สนับสนุนบทบาทของอาเซียนบวกสามในการแก้ไขปัญหาวิกฤตการเรียนรู้ รวมทั้งความจำเป็นในการเร่งฟื้นฟูการเรียนและสร้างความยืดหยุ่นในการศึกษาภายหลังโควิด-</w:t>
            </w:r>
            <w:r w:rsidRPr="007F0A0C">
              <w:rPr>
                <w:rFonts w:eastAsia="Calibri"/>
              </w:rPr>
              <w:t>19</w:t>
            </w:r>
            <w:r w:rsidRPr="007F0A0C">
              <w:rPr>
                <w:rFonts w:eastAsia="Calibri"/>
                <w:cs/>
              </w:rPr>
              <w:t xml:space="preserve"> และความก้าวหน้าในการดำเนินการตามแผนปฏิบัติการอาเซียนบวกสาม ปี พ.ศ. 2561 - 2568</w:t>
            </w:r>
          </w:p>
        </w:tc>
      </w:tr>
      <w:tr w:rsidR="00EB3631" w:rsidRPr="007F0A0C" w:rsidTr="00EB3631">
        <w:tc>
          <w:tcPr>
            <w:tcW w:w="2943" w:type="dxa"/>
          </w:tcPr>
          <w:p w:rsidR="00EB3631" w:rsidRPr="007F0A0C" w:rsidRDefault="00EB3631" w:rsidP="007F0A0C">
            <w:pPr>
              <w:spacing w:line="320" w:lineRule="exact"/>
              <w:jc w:val="thaiDistribute"/>
              <w:rPr>
                <w:rFonts w:eastAsia="Calibri"/>
              </w:rPr>
            </w:pPr>
            <w:r w:rsidRPr="007F0A0C">
              <w:rPr>
                <w:rFonts w:eastAsia="Calibri"/>
              </w:rPr>
              <w:lastRenderedPageBreak/>
              <w:t>3</w:t>
            </w:r>
            <w:r w:rsidRPr="007F0A0C">
              <w:rPr>
                <w:rFonts w:eastAsia="Calibri"/>
                <w:cs/>
              </w:rPr>
              <w:t xml:space="preserve">. </w:t>
            </w:r>
            <w:r w:rsidRPr="007F0A0C">
              <w:rPr>
                <w:rFonts w:eastAsia="Calibri"/>
                <w:b/>
                <w:bCs/>
                <w:cs/>
              </w:rPr>
              <w:t>ร่างแถลงการณ์ร่วมการประชุมสุดยอดเอเชียตะวันออกด้านการศึกษา ครั้งที่ 6</w:t>
            </w:r>
          </w:p>
        </w:tc>
        <w:tc>
          <w:tcPr>
            <w:tcW w:w="6804" w:type="dxa"/>
          </w:tcPr>
          <w:p w:rsidR="00EB3631" w:rsidRPr="007F0A0C" w:rsidRDefault="00EB3631" w:rsidP="007F0A0C">
            <w:pPr>
              <w:spacing w:line="320" w:lineRule="exact"/>
              <w:jc w:val="thaiDistribute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รับทราบการมีส่วนร่วมของประเทศสมาชิก </w:t>
            </w:r>
            <w:r w:rsidRPr="007F0A0C">
              <w:rPr>
                <w:rFonts w:eastAsia="Calibri"/>
              </w:rPr>
              <w:t>EAS</w:t>
            </w:r>
            <w:r w:rsidRPr="007F0A0C">
              <w:rPr>
                <w:rFonts w:eastAsia="Calibri"/>
                <w:cs/>
              </w:rPr>
              <w:t xml:space="preserve"> ในการดำเนินงานร่วมกันด้านการศึกษา เผนปฏิบัติการด้านการศึกษาอาเซียน-รัสเซีย พ.ศ. 2565 – 2569 การเปิดตัวโครงการแลกเปลี่ยนเครือข่ายมหาวิทยาลัยอาเซียน-อินเดีย </w:t>
            </w:r>
            <w:r w:rsidR="00260D26">
              <w:rPr>
                <w:rFonts w:eastAsia="Calibri" w:hint="cs"/>
                <w:cs/>
              </w:rPr>
              <w:t xml:space="preserve">      </w:t>
            </w:r>
            <w:r w:rsidRPr="007F0A0C">
              <w:rPr>
                <w:rFonts w:eastAsia="Calibri"/>
                <w:cs/>
              </w:rPr>
              <w:t>และความมุ่งมั่นในการบรรลุวาระการพัฒนาอย่างยั่งยืนด้านการศึกษา</w:t>
            </w:r>
          </w:p>
        </w:tc>
      </w:tr>
    </w:tbl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4. ที่ประชุมฯ ได้รับทราบเอกสาร “แนวทางการเปิดเรียน ฟื้นฟูและปรับตัวด้านการศึกษาของประเทศสมาชิกอาเซียน” และปฏิญญาอาเซียนว่าด้วยการเปลี่ยนแปลงทางดิจิทัลของระบบการศึกษาในอาเชียน*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(ได้มีการนำเสนอต่อที่ประชุมสุดยอดผู้นำอาเซียน ครั้งที่ </w:t>
      </w:r>
      <w:r w:rsidRPr="007F0A0C">
        <w:rPr>
          <w:rFonts w:ascii="TH SarabunPSK" w:eastAsia="Calibri" w:hAnsi="TH SarabunPSK" w:cs="TH SarabunPSK"/>
          <w:sz w:val="32"/>
          <w:szCs w:val="32"/>
        </w:rPr>
        <w:t>40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และ </w:t>
      </w:r>
      <w:r w:rsidRPr="007F0A0C">
        <w:rPr>
          <w:rFonts w:ascii="TH SarabunPSK" w:eastAsia="Calibri" w:hAnsi="TH SarabunPSK" w:cs="TH SarabunPSK"/>
          <w:sz w:val="32"/>
          <w:szCs w:val="32"/>
        </w:rPr>
        <w:t>41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ในระหว่างวันที่ 10 - 13 พฤศจิกายน 2565 ด้วยแล้ว) โดยปฏิญญาฯ มีสาระสำคัญ เช่น การเข้าถึงการศึกษาและการมีส่วนร่วมในการศึกษาของประชากรชายขอบผ่านการเรียนทางไกลและการเรียนออนไลน์โดยใช้เทคโนโลยีดิจิทัล การพัฒนาระบบนิเวศดิจิทัลที่ปลอดภัย ทั่วถึง และเท่าเทียมสำหรับประชาชนในภูมิภาคอาเซียนและการขยายโครงสร้างพื้นฐานทางอินเทอร์เน็ตและโครงสร้างพื้นฐานทางไฟฟ้าเพื่อให้แน่ใจว่าผู้เรียนทุกคนสามารถมีส่วนร่วมในการเรียนรู้ดิจิทัล</w:t>
      </w:r>
    </w:p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5. การเป็นประธานการประชุมด้านการศึกษาอาเซียน ระหว่างปี พ.ศ.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2567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– 2568* ซึ่งประเทศไทยรับเป็นประธานการประชุมด้านการศึกษาอาเซียนฯ โดยจะเป็นเจ้าภาพจัดการประชุมเจ้าหน้าที่อาวุโสด้านการศึกษาของอาเซียนครั้งที่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19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การประชุมเจ้าหน้าที่อาวุโสด้านการศึกษาอาเซียนบวกสาม ครั้งที่ 14 การประชุมเจ้าหน้าที่อาวุโสด้านการศึกษาในกรอบสุดยอดเอเชียตะวันออก ครั้งที่ </w:t>
      </w:r>
      <w:r w:rsidRPr="007F0A0C">
        <w:rPr>
          <w:rFonts w:ascii="TH SarabunPSK" w:eastAsia="Calibri" w:hAnsi="TH SarabunPSK" w:cs="TH SarabunPSK"/>
          <w:sz w:val="32"/>
          <w:szCs w:val="32"/>
        </w:rPr>
        <w:t>9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รวมถึงการเป็นเจ้าภาพการประชุมรัฐมนตรีด้านการศึกษาอาเซียน ครั้งที่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13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การประชุมรัฐมนตรีด้านการศึกษาอาเซียนบวกสาม ครั้งที่ 7 และการประชุมสุดยอดเอเชียตะวันออกด้านการศึกษา ครั้งที่ </w:t>
      </w:r>
      <w:r w:rsidRPr="007F0A0C">
        <w:rPr>
          <w:rFonts w:ascii="TH SarabunPSK" w:eastAsia="Calibri" w:hAnsi="TH SarabunPSK" w:cs="TH SarabunPSK"/>
          <w:sz w:val="32"/>
          <w:szCs w:val="32"/>
        </w:rPr>
        <w:t>7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ในปี พ.ศ. </w:t>
      </w:r>
      <w:r w:rsidRPr="007F0A0C">
        <w:rPr>
          <w:rFonts w:ascii="TH SarabunPSK" w:eastAsia="Calibri" w:hAnsi="TH SarabunPSK" w:cs="TH SarabunPSK"/>
          <w:sz w:val="32"/>
          <w:szCs w:val="32"/>
        </w:rPr>
        <w:t>2567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ในหัวข้อ “</w:t>
      </w:r>
      <w:r w:rsidRPr="007F0A0C">
        <w:rPr>
          <w:rFonts w:ascii="TH SarabunPSK" w:eastAsia="Calibri" w:hAnsi="TH SarabunPSK" w:cs="TH SarabunPSK"/>
          <w:sz w:val="32"/>
          <w:szCs w:val="32"/>
        </w:rPr>
        <w:t>Transforming Education to fit in the Digital Era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(พลิกโฉมการศึกษาสู่ยุคดิจิทัล)”</w:t>
      </w:r>
    </w:p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>6. การเจรจาหารือความร่วมมือทวิภาคีระหว่างไทยและสิงคโปร์ โดยสิงคโปร์ให้ความสำคัญในเรื่องระบบการศึกษาของไทย โดยเฉพาะกระบวนการผลิตครู การฝึกอบรมครู การจัดสวัสดิการของครู การสับเปลี่ยนหรือเคลื่อนย้ายครู และการก้าวสู่ตำแหน่งผู้บริหาร (ครูใหญ่) นอกจากนี้ สิงคโปร์ต้องการดำเนินการแลกเปลี่ยนกับไทยในทุกระดับ ได้แก่ โรงเรียน ครูผู้สอน ผู้บริการสถานศึกษา มหาวิทยาลัย เพื่อให้เกิดการเรียนรู้ร่วมกันมากขึ้น ซึ่งไทยได้ให้ความสำคัญกับการใช้และออกแบบแพลตฟอร์มการเรียนเพื่อช่วยลดช่องว่างด้านการจัดการเรียนการสอนให้กับเด็กที่อยู่ห่างไกล และให้ความสำคัญกับเรื่องการจัดการฝึกอบรมให้แก่ครูไทย โดยเฉพาะการจัดการการอบรมให้แก่ครูอาชีวศึกษาในสาขาอุตสาหกรรมการบินและอุตสาหกรรมการเกษตรสมัยใหม่ โดยไทยและสิงคโปร์จะมีการหารือในรายละเอียดการดำเนินงานระหว่างกันต่อไป</w:t>
      </w:r>
    </w:p>
    <w:p w:rsidR="00332A8F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softHyphen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softHyphen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softHyphen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softHyphen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softHyphen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softHyphen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softHyphen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softHyphen/>
      </w:r>
    </w:p>
    <w:p w:rsidR="00332A8F" w:rsidRDefault="00332A8F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>______________________</w:t>
      </w:r>
    </w:p>
    <w:p w:rsidR="00EB3631" w:rsidRPr="00332A8F" w:rsidRDefault="00EB3631" w:rsidP="00332A8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332A8F">
        <w:rPr>
          <w:rFonts w:ascii="TH SarabunPSK" w:eastAsia="Calibri" w:hAnsi="TH SarabunPSK" w:cs="TH SarabunPSK"/>
          <w:sz w:val="28"/>
          <w:vertAlign w:val="superscript"/>
          <w:cs/>
        </w:rPr>
        <w:t>1</w:t>
      </w:r>
      <w:r w:rsidRPr="00332A8F">
        <w:rPr>
          <w:rFonts w:ascii="TH SarabunPSK" w:eastAsia="Calibri" w:hAnsi="TH SarabunPSK" w:cs="TH SarabunPSK"/>
          <w:sz w:val="28"/>
          <w:cs/>
        </w:rPr>
        <w:t xml:space="preserve">กลุ่มอาเซียนบวกสาม ประกอบด้วย 10 ประเทศสมาชิกอาเซียน สาธารณรัฐประซาชนจีน ญี่ปุ่น และสาธารณรัฐเกาหลี </w:t>
      </w:r>
      <w:r w:rsidR="00332A8F">
        <w:rPr>
          <w:rFonts w:ascii="TH SarabunPSK" w:eastAsia="Calibri" w:hAnsi="TH SarabunPSK" w:cs="TH SarabunPSK" w:hint="cs"/>
          <w:sz w:val="28"/>
          <w:cs/>
        </w:rPr>
        <w:t xml:space="preserve">               </w:t>
      </w:r>
      <w:r w:rsidRPr="00332A8F">
        <w:rPr>
          <w:rFonts w:ascii="TH SarabunPSK" w:eastAsia="Calibri" w:hAnsi="TH SarabunPSK" w:cs="TH SarabunPSK"/>
          <w:sz w:val="28"/>
          <w:cs/>
        </w:rPr>
        <w:t xml:space="preserve">โดยมีวัตถุประสงค์เพื่อให้เกิดความร่วมมือของกลุ่มประเทศอาเซียนและประเทศที่มีขนาดเศรษฐกิจขนาดใหญ่อีก 3 ประเทศ ซึ่งรวมกัน เรียกว่า ชุมชนเอเชียตะวันออก และมีข้อตกลงกันเพื่อความร่วมมือในด้านต่าง ๆ 5 ด้าน ดังนี้ (1) ด้านการเมืองและความมั่นคง </w:t>
      </w:r>
      <w:r w:rsidR="00E2651B" w:rsidRPr="00332A8F">
        <w:rPr>
          <w:rFonts w:ascii="TH SarabunPSK" w:eastAsia="Calibri" w:hAnsi="TH SarabunPSK" w:cs="TH SarabunPSK"/>
          <w:sz w:val="28"/>
          <w:cs/>
        </w:rPr>
        <w:t xml:space="preserve"> </w:t>
      </w:r>
      <w:r w:rsidR="00332A8F">
        <w:rPr>
          <w:rFonts w:ascii="TH SarabunPSK" w:eastAsia="Calibri" w:hAnsi="TH SarabunPSK" w:cs="TH SarabunPSK" w:hint="cs"/>
          <w:sz w:val="28"/>
          <w:cs/>
        </w:rPr>
        <w:t xml:space="preserve">      </w:t>
      </w:r>
      <w:r w:rsidRPr="00332A8F">
        <w:rPr>
          <w:rFonts w:ascii="TH SarabunPSK" w:eastAsia="Calibri" w:hAnsi="TH SarabunPSK" w:cs="TH SarabunPSK"/>
          <w:sz w:val="28"/>
          <w:cs/>
        </w:rPr>
        <w:t>(</w:t>
      </w:r>
      <w:r w:rsidRPr="00332A8F">
        <w:rPr>
          <w:rFonts w:ascii="TH SarabunPSK" w:eastAsia="Calibri" w:hAnsi="TH SarabunPSK" w:cs="TH SarabunPSK"/>
          <w:sz w:val="28"/>
        </w:rPr>
        <w:t>2</w:t>
      </w:r>
      <w:r w:rsidRPr="00332A8F">
        <w:rPr>
          <w:rFonts w:ascii="TH SarabunPSK" w:eastAsia="Calibri" w:hAnsi="TH SarabunPSK" w:cs="TH SarabunPSK"/>
          <w:sz w:val="28"/>
          <w:cs/>
        </w:rPr>
        <w:t>) ด้านความร่วมมือทางเศรษฐกิจและการเงิน (3) ด้านพลังงาน (4) ด้านสิ่งแวดล้อมและการเปลี่ยนแปลงของสภาวะอากาศโลก</w:t>
      </w:r>
      <w:r w:rsidR="00E2651B" w:rsidRPr="00332A8F">
        <w:rPr>
          <w:rFonts w:ascii="TH SarabunPSK" w:eastAsia="Calibri" w:hAnsi="TH SarabunPSK" w:cs="TH SarabunPSK"/>
          <w:sz w:val="28"/>
          <w:cs/>
        </w:rPr>
        <w:t xml:space="preserve"> </w:t>
      </w:r>
      <w:r w:rsidR="00332A8F"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Pr="00332A8F">
        <w:rPr>
          <w:rFonts w:ascii="TH SarabunPSK" w:eastAsia="Calibri" w:hAnsi="TH SarabunPSK" w:cs="TH SarabunPSK"/>
          <w:sz w:val="28"/>
          <w:cs/>
        </w:rPr>
        <w:t>และ (5) ด้านสังคมและวัฒนธรรม</w:t>
      </w:r>
    </w:p>
    <w:p w:rsidR="00EB3631" w:rsidRPr="00332A8F" w:rsidRDefault="00EB3631" w:rsidP="00332A8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332A8F">
        <w:rPr>
          <w:rFonts w:ascii="TH SarabunPSK" w:eastAsia="Calibri" w:hAnsi="TH SarabunPSK" w:cs="TH SarabunPSK"/>
          <w:sz w:val="28"/>
          <w:vertAlign w:val="superscript"/>
          <w:cs/>
        </w:rPr>
        <w:t>2</w:t>
      </w:r>
      <w:r w:rsidRPr="00332A8F">
        <w:rPr>
          <w:rFonts w:ascii="TH SarabunPSK" w:eastAsia="Calibri" w:hAnsi="TH SarabunPSK" w:cs="TH SarabunPSK"/>
          <w:sz w:val="28"/>
          <w:cs/>
        </w:rPr>
        <w:t>การประชุมสุดยอดเอเชียตะวันออก (</w:t>
      </w:r>
      <w:r w:rsidRPr="00332A8F">
        <w:rPr>
          <w:rFonts w:ascii="TH SarabunPSK" w:eastAsia="Calibri" w:hAnsi="TH SarabunPSK" w:cs="TH SarabunPSK"/>
          <w:sz w:val="28"/>
        </w:rPr>
        <w:t>East Asia Summit</w:t>
      </w:r>
      <w:r w:rsidRPr="00332A8F">
        <w:rPr>
          <w:rFonts w:ascii="TH SarabunPSK" w:eastAsia="Calibri" w:hAnsi="TH SarabunPSK" w:cs="TH SarabunPSK"/>
          <w:sz w:val="28"/>
          <w:cs/>
        </w:rPr>
        <w:t xml:space="preserve">: </w:t>
      </w:r>
      <w:r w:rsidRPr="00332A8F">
        <w:rPr>
          <w:rFonts w:ascii="TH SarabunPSK" w:eastAsia="Calibri" w:hAnsi="TH SarabunPSK" w:cs="TH SarabunPSK"/>
          <w:sz w:val="28"/>
        </w:rPr>
        <w:t>EAS</w:t>
      </w:r>
      <w:r w:rsidRPr="00332A8F">
        <w:rPr>
          <w:rFonts w:ascii="TH SarabunPSK" w:eastAsia="Calibri" w:hAnsi="TH SarabunPSK" w:cs="TH SarabunPSK"/>
          <w:sz w:val="28"/>
          <w:cs/>
        </w:rPr>
        <w:t xml:space="preserve">) เป็นข้อริเริ่มที่ต่อยอดจากอาเซียนบวกสาม โดยเห็นว่าควรเปิดกว้างให้ประเทศคู่เจรจาที่อยู่นอกกลุ่มอาเซียนบวกสามเข้าร่วมด้วย ปัจจุบันมีประเทศที่เข้าร่วมใน </w:t>
      </w:r>
      <w:r w:rsidRPr="00332A8F">
        <w:rPr>
          <w:rFonts w:ascii="TH SarabunPSK" w:eastAsia="Calibri" w:hAnsi="TH SarabunPSK" w:cs="TH SarabunPSK"/>
          <w:sz w:val="28"/>
        </w:rPr>
        <w:t xml:space="preserve">EAS </w:t>
      </w:r>
      <w:r w:rsidRPr="00332A8F">
        <w:rPr>
          <w:rFonts w:ascii="TH SarabunPSK" w:eastAsia="Calibri" w:hAnsi="TH SarabunPSK" w:cs="TH SarabunPSK"/>
          <w:sz w:val="28"/>
          <w:cs/>
        </w:rPr>
        <w:t>จำนวน</w:t>
      </w:r>
      <w:r w:rsidRPr="00332A8F">
        <w:rPr>
          <w:rFonts w:ascii="TH SarabunPSK" w:eastAsia="Calibri" w:hAnsi="TH SarabunPSK" w:cs="TH SarabunPSK"/>
          <w:sz w:val="28"/>
        </w:rPr>
        <w:t xml:space="preserve"> 18</w:t>
      </w:r>
      <w:r w:rsidRPr="00332A8F">
        <w:rPr>
          <w:rFonts w:ascii="TH SarabunPSK" w:eastAsia="Calibri" w:hAnsi="TH SarabunPSK" w:cs="TH SarabunPSK"/>
          <w:sz w:val="28"/>
          <w:cs/>
        </w:rPr>
        <w:t xml:space="preserve"> ประเทศ ได้แก่ อาเซียน 10 ประเทศ เครือรัฐออสเตรเลีย จีน สาธารณรัฐอินเดีย ญี่ปุ่น เกาหลีใต้ ราชอาณาจักรนิวซีแลนด์ สหพันธรัฐรัสเชีย และสหรัฐอเมริกา ณ ประเทศไทย</w:t>
      </w:r>
    </w:p>
    <w:p w:rsidR="00EB3631" w:rsidRPr="00332A8F" w:rsidRDefault="00EB3631" w:rsidP="00332A8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332A8F">
        <w:rPr>
          <w:rFonts w:ascii="TH SarabunPSK" w:eastAsia="Calibri" w:hAnsi="TH SarabunPSK" w:cs="TH SarabunPSK"/>
          <w:b/>
          <w:bCs/>
          <w:sz w:val="28"/>
          <w:cs/>
        </w:rPr>
        <w:t>หมายเหตุ</w:t>
      </w:r>
      <w:r w:rsidRPr="00332A8F">
        <w:rPr>
          <w:rFonts w:ascii="TH SarabunPSK" w:eastAsia="Calibri" w:hAnsi="TH SarabunPSK" w:cs="TH SarabunPSK"/>
          <w:sz w:val="28"/>
          <w:cs/>
        </w:rPr>
        <w:t xml:space="preserve"> : *คณะรัฐมนตรีมีมติ (</w:t>
      </w:r>
      <w:r w:rsidRPr="00332A8F">
        <w:rPr>
          <w:rFonts w:ascii="TH SarabunPSK" w:eastAsia="Calibri" w:hAnsi="TH SarabunPSK" w:cs="TH SarabunPSK"/>
          <w:sz w:val="28"/>
        </w:rPr>
        <w:t>25</w:t>
      </w:r>
      <w:r w:rsidRPr="00332A8F">
        <w:rPr>
          <w:rFonts w:ascii="TH SarabunPSK" w:eastAsia="Calibri" w:hAnsi="TH SarabunPSK" w:cs="TH SarabunPSK"/>
          <w:sz w:val="28"/>
          <w:cs/>
        </w:rPr>
        <w:t xml:space="preserve"> ตุลาคม </w:t>
      </w:r>
      <w:r w:rsidRPr="00332A8F">
        <w:rPr>
          <w:rFonts w:ascii="TH SarabunPSK" w:eastAsia="Calibri" w:hAnsi="TH SarabunPSK" w:cs="TH SarabunPSK"/>
          <w:sz w:val="28"/>
        </w:rPr>
        <w:t>2565</w:t>
      </w:r>
      <w:r w:rsidRPr="00332A8F">
        <w:rPr>
          <w:rFonts w:ascii="TH SarabunPSK" w:eastAsia="Calibri" w:hAnsi="TH SarabunPSK" w:cs="TH SarabunPSK"/>
          <w:sz w:val="28"/>
          <w:cs/>
        </w:rPr>
        <w:t xml:space="preserve">) เห็นชอบให้ ศธ. เป็นเจ้าภาพและประธานการประชุมรัฐมนตรีด้านการศึกษาอาเซียน ครั้งที่ </w:t>
      </w:r>
      <w:r w:rsidRPr="00332A8F">
        <w:rPr>
          <w:rFonts w:ascii="TH SarabunPSK" w:eastAsia="Calibri" w:hAnsi="TH SarabunPSK" w:cs="TH SarabunPSK"/>
          <w:sz w:val="28"/>
        </w:rPr>
        <w:t>13</w:t>
      </w:r>
      <w:r w:rsidRPr="00332A8F">
        <w:rPr>
          <w:rFonts w:ascii="TH SarabunPSK" w:eastAsia="Calibri" w:hAnsi="TH SarabunPSK" w:cs="TH SarabunPSK"/>
          <w:sz w:val="28"/>
          <w:cs/>
        </w:rPr>
        <w:t xml:space="preserve"> และการประชุมที่เกี่ยวข้อง ระหว่างปี พ.ศ. </w:t>
      </w:r>
      <w:r w:rsidRPr="00332A8F">
        <w:rPr>
          <w:rFonts w:ascii="TH SarabunPSK" w:eastAsia="Calibri" w:hAnsi="TH SarabunPSK" w:cs="TH SarabunPSK"/>
          <w:sz w:val="28"/>
        </w:rPr>
        <w:t>2567</w:t>
      </w:r>
      <w:r w:rsidRPr="00332A8F">
        <w:rPr>
          <w:rFonts w:ascii="TH SarabunPSK" w:eastAsia="Calibri" w:hAnsi="TH SarabunPSK" w:cs="TH SarabunPSK"/>
          <w:sz w:val="28"/>
          <w:cs/>
        </w:rPr>
        <w:t>-2568 และเห็นชอบปฏิญญาอาเซียนว่าด้วยการเปลี่ยนแปลงทางดิจิทัลของระบบการศึกษา รวมถึงอนุมัติให้รัฐมนตรีว่าการกระทรวงศึกษาธิการหรือผู้ที่ได้รับมอบหมายรับรองปฏิญญาอาเซียนดังกล่าว</w:t>
      </w:r>
    </w:p>
    <w:p w:rsidR="002D2635" w:rsidRDefault="002D2635" w:rsidP="00332A8F">
      <w:pPr>
        <w:spacing w:after="0" w:line="320" w:lineRule="exac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F0A0C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:rsidR="00260D26" w:rsidRDefault="00260D26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0D26" w:rsidRPr="007F0A0C" w:rsidRDefault="00260D26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502554" w:rsidRPr="00332A8F" w:rsidRDefault="00AB685B" w:rsidP="007F0A0C">
      <w:pPr>
        <w:spacing w:after="0" w:line="320" w:lineRule="exact"/>
        <w:rPr>
          <w:rFonts w:ascii="TH SarabunPSK Bold" w:eastAsia="Calibri" w:hAnsi="TH SarabunPSK Bold" w:cs="TH SarabunPSK"/>
          <w:b/>
          <w:bCs/>
          <w:spacing w:val="-6"/>
          <w:sz w:val="32"/>
          <w:szCs w:val="32"/>
        </w:rPr>
      </w:pPr>
      <w:r w:rsidRPr="00332A8F">
        <w:rPr>
          <w:rFonts w:ascii="TH SarabunPSK Bold" w:eastAsia="Calibri" w:hAnsi="TH SarabunPSK Bold" w:cs="TH SarabunPSK" w:hint="cs"/>
          <w:b/>
          <w:bCs/>
          <w:spacing w:val="-6"/>
          <w:sz w:val="32"/>
          <w:szCs w:val="32"/>
          <w:cs/>
        </w:rPr>
        <w:lastRenderedPageBreak/>
        <w:t xml:space="preserve">20. </w:t>
      </w:r>
      <w:r w:rsidR="00502554" w:rsidRPr="00332A8F">
        <w:rPr>
          <w:rFonts w:ascii="TH SarabunPSK Bold" w:eastAsia="Calibri" w:hAnsi="TH SarabunPSK Bold" w:cs="TH SarabunPSK"/>
          <w:b/>
          <w:bCs/>
          <w:spacing w:val="-6"/>
          <w:sz w:val="32"/>
          <w:szCs w:val="32"/>
          <w:cs/>
        </w:rPr>
        <w:t>เรื่อง การจัดทำแผนปฏิบัติการร่วมระหว่างราชอาณาจักรไทยและสาธารณ</w:t>
      </w:r>
      <w:r w:rsidR="00332A8F" w:rsidRPr="00332A8F">
        <w:rPr>
          <w:rFonts w:ascii="TH SarabunPSK Bold" w:eastAsia="Calibri" w:hAnsi="TH SarabunPSK Bold" w:cs="TH SarabunPSK"/>
          <w:b/>
          <w:bCs/>
          <w:spacing w:val="-6"/>
          <w:sz w:val="32"/>
          <w:szCs w:val="32"/>
          <w:cs/>
        </w:rPr>
        <w:t xml:space="preserve">รัฐตุรกี ฉบับที่ 2 (ค.ศ. 2023 - </w:t>
      </w:r>
      <w:r w:rsidR="00502554" w:rsidRPr="00332A8F">
        <w:rPr>
          <w:rFonts w:ascii="TH SarabunPSK Bold" w:eastAsia="Calibri" w:hAnsi="TH SarabunPSK Bold" w:cs="TH SarabunPSK"/>
          <w:b/>
          <w:bCs/>
          <w:spacing w:val="-6"/>
          <w:sz w:val="32"/>
          <w:szCs w:val="32"/>
          <w:cs/>
        </w:rPr>
        <w:t>2028)</w:t>
      </w:r>
    </w:p>
    <w:p w:rsidR="00502554" w:rsidRPr="00502554" w:rsidRDefault="00502554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คณะรัฐมนตรีมีมติเห็นชอบต่อร่างแผนปฏิบัติการร่วมระหว่างราชอาณาจักรไทยและสาธารณรัฐตุรกี ฉบับที่ 2 (ค.ศ. 2023 - 2028) (</w:t>
      </w:r>
      <w:r w:rsidRPr="00502554">
        <w:rPr>
          <w:rFonts w:ascii="TH SarabunPSK" w:eastAsia="Calibri" w:hAnsi="TH SarabunPSK" w:cs="TH SarabunPSK"/>
          <w:sz w:val="32"/>
          <w:szCs w:val="32"/>
        </w:rPr>
        <w:t>The Second Joint Plan of Action between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02554">
        <w:rPr>
          <w:rFonts w:ascii="TH SarabunPSK" w:eastAsia="Calibri" w:hAnsi="TH SarabunPSK" w:cs="TH SarabunPSK"/>
          <w:sz w:val="32"/>
          <w:szCs w:val="32"/>
        </w:rPr>
        <w:t>the Kingdom of Thailand and the Republic of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02554">
        <w:rPr>
          <w:rFonts w:ascii="TH SarabunPSK" w:eastAsia="Calibri" w:hAnsi="TH SarabunPSK" w:cs="TH SarabunPSK"/>
          <w:sz w:val="32"/>
          <w:szCs w:val="32"/>
        </w:rPr>
        <w:t xml:space="preserve">Türkiye  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502554">
        <w:rPr>
          <w:rFonts w:ascii="TH SarabunPSK" w:eastAsia="Calibri" w:hAnsi="TH SarabunPSK" w:cs="TH SarabunPSK"/>
          <w:sz w:val="32"/>
          <w:szCs w:val="32"/>
        </w:rPr>
        <w:t>2023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502554">
        <w:rPr>
          <w:rFonts w:ascii="TH SarabunPSK" w:eastAsia="Calibri" w:hAnsi="TH SarabunPSK" w:cs="TH SarabunPSK"/>
          <w:sz w:val="32"/>
          <w:szCs w:val="32"/>
        </w:rPr>
        <w:t>2028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) ทั้งนี้หากมีความจำป็นต้องแก้ไขร่างแผนปฏิบัติการร่วมระหว่างราชอาณาจักรไทยและสาธารณรัฐตุรกี ฉบับที่ </w:t>
      </w:r>
      <w:r w:rsidRPr="00502554">
        <w:rPr>
          <w:rFonts w:ascii="TH SarabunPSK" w:eastAsia="Calibri" w:hAnsi="TH SarabunPSK" w:cs="TH SarabunPSK"/>
          <w:sz w:val="32"/>
          <w:szCs w:val="32"/>
        </w:rPr>
        <w:t>2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 (ค.ศ. </w:t>
      </w:r>
      <w:r w:rsidRPr="00502554">
        <w:rPr>
          <w:rFonts w:ascii="TH SarabunPSK" w:eastAsia="Calibri" w:hAnsi="TH SarabunPSK" w:cs="TH SarabunPSK"/>
          <w:sz w:val="32"/>
          <w:szCs w:val="32"/>
        </w:rPr>
        <w:t>2023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502554">
        <w:rPr>
          <w:rFonts w:ascii="TH SarabunPSK" w:eastAsia="Calibri" w:hAnsi="TH SarabunPSK" w:cs="TH SarabunPSK"/>
          <w:sz w:val="32"/>
          <w:szCs w:val="32"/>
        </w:rPr>
        <w:t>2028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) ในส่วนที่มิใช่สาระสำคัญหรือไม่ขัดต่อผลประโยชน์ของประเทศไทย ให้กระทรวงการต่างประเทศสามารถดำเนินการได้โดยไม่ต้องขอความเห็นชอบจากคณะรัฐมนตรีอีก รวมทั้งให้รองนายกรัฐมนตรีและรัฐมนตรีว่าการกระทรวงการต่างประเทศ หรือผู้แทนที่ได้รับมอบหมายจากรองนายกรัฐมนตรีและรัฐมนตรีว่าการกระทรวงการต่างประเทศ เป็นผู้ลงนามแผนปฏิบัติการร่วมระหว่างราชอาณาจักรไทยและสาธารณรัฐตุรกี ฉบับที่ </w:t>
      </w:r>
      <w:r w:rsidRPr="00502554">
        <w:rPr>
          <w:rFonts w:ascii="TH SarabunPSK" w:eastAsia="Calibri" w:hAnsi="TH SarabunPSK" w:cs="TH SarabunPSK"/>
          <w:sz w:val="32"/>
          <w:szCs w:val="32"/>
        </w:rPr>
        <w:t>2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 (ค.ศ. </w:t>
      </w:r>
      <w:r w:rsidRPr="00502554">
        <w:rPr>
          <w:rFonts w:ascii="TH SarabunPSK" w:eastAsia="Calibri" w:hAnsi="TH SarabunPSK" w:cs="TH SarabunPSK"/>
          <w:sz w:val="32"/>
          <w:szCs w:val="32"/>
        </w:rPr>
        <w:t>2023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502554">
        <w:rPr>
          <w:rFonts w:ascii="TH SarabunPSK" w:eastAsia="Calibri" w:hAnsi="TH SarabunPSK" w:cs="TH SarabunPSK"/>
          <w:sz w:val="32"/>
          <w:szCs w:val="32"/>
        </w:rPr>
        <w:t>2028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>) ตามที่กระทรวงการต่างประเทศ (กต.) เสนอ</w:t>
      </w:r>
    </w:p>
    <w:p w:rsidR="00502554" w:rsidRPr="00502554" w:rsidRDefault="00502554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554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502554" w:rsidRPr="00502554" w:rsidRDefault="00502554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2A8F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ร่างแผนปฏิบัติการร่วมระหว่างราชอาณาจักรไทยและสาธารณรัฐตุรกี ฉบับที่ 2 (ค.ศ. 2023 - 2028) </w:t>
      </w:r>
      <w:r w:rsidR="00332A8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>มีวัตถุประสงค์เพื่อใช้เป็นกรอบแนวทางการดำเนินความสัมพันธ์ทวิภาคีร</w:t>
      </w:r>
      <w:r w:rsidR="00332A8F">
        <w:rPr>
          <w:rFonts w:ascii="TH SarabunPSK" w:eastAsia="Calibri" w:hAnsi="TH SarabunPSK" w:cs="TH SarabunPSK"/>
          <w:sz w:val="32"/>
          <w:szCs w:val="32"/>
          <w:cs/>
        </w:rPr>
        <w:t>ะหว่างไทยกับตุรกีในห้วงระยะเวลา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5 ปี ระหว่างปี 2566 - 2571 (ค.ศ. 2023 - 2028) โดยเน้นความร่วมมือในสาขาและประเด็นที่หลากหลายและรอบด้าน บนพื้นฐานของผลประโยชน์ร่วมกันของทั้งสองประเทศ เพื่อยกระดับความสัมพันธ์และความร่วมมือทวิภาคีระหว่างประเทศไทยกับสาธารณรัฐตุรกีไปสู่การเป็นหุ้นส่วนทางยุทธศาสตร์ภายในปี </w:t>
      </w:r>
      <w:r w:rsidRPr="00502554">
        <w:rPr>
          <w:rFonts w:ascii="TH SarabunPSK" w:eastAsia="Calibri" w:hAnsi="TH SarabunPSK" w:cs="TH SarabunPSK"/>
          <w:sz w:val="32"/>
          <w:szCs w:val="32"/>
        </w:rPr>
        <w:t>2571</w:t>
      </w:r>
    </w:p>
    <w:p w:rsidR="00502554" w:rsidRPr="00502554" w:rsidRDefault="00502554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554">
        <w:rPr>
          <w:rFonts w:ascii="TH SarabunPSK" w:eastAsia="Calibri" w:hAnsi="TH SarabunPSK" w:cs="TH SarabunPSK"/>
          <w:sz w:val="32"/>
          <w:szCs w:val="32"/>
        </w:rPr>
        <w:tab/>
      </w:r>
      <w:r w:rsidRPr="00502554">
        <w:rPr>
          <w:rFonts w:ascii="TH SarabunPSK" w:eastAsia="Calibri" w:hAnsi="TH SarabunPSK" w:cs="TH SarabunPSK"/>
          <w:sz w:val="32"/>
          <w:szCs w:val="32"/>
        </w:rPr>
        <w:tab/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ทั้งนี้ ร่างแผนปฏิบัติการร่วมระหว่างราชอาณาจักรไทยและสาธารณรัฐตุรกี ฉบับที่ 2 (ค.ศ. 2023 - 2028) มีเนื้อหาสาระเพิ่มเติมจากแผนปฏิบัติการร่วมระหว่างราชอาณาจักรไทยและสาธารณรัฐตุรกี ฉบับที่ 1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>(ค.ศ. 2013 - 2018) โดยให้ความสำคัญมากยิ่งขึ้นกับความร่วมมือในกรอบพหุภาคีที่หลากหลายและครอบคลุมประเด็นร่วมสมัยที่สอดรับกับบริบทของยุคปัจจุบัน อาทิ ความร่วมมือด้านการพัฒนา ความร่วมมือด้านวิทยาศาสตร์ เทคโนโลยีดิจิทัลและนวัตกรรม การส่งเสริมพหุวัฒนธรรม ตลอดจนการป้องกันการแพร่ขยายของแนวคิดสุดโต่ง</w:t>
      </w:r>
      <w:r w:rsidR="00332A8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ที่นิยมความรุนแรง ตลอดจนปัญหาอาชญากรรมข้ามชาติ นอกจากนี้แผนปฏิบัติการร่วมระหว่างราชอาณาจักรไทยและสาธารณรัฐตุรกี ฉบับที่ 2 (ค.ศ. 2023 - 2028) ยังมุ่งสานต่อความร่วมมือเดิมภายใต้แผนปฏิบัติการร่วมระหว่างราชอาณาจักรไทยและสาธารณรัฐตุรกี ฉบับที่ </w:t>
      </w:r>
      <w:r w:rsidRPr="00502554">
        <w:rPr>
          <w:rFonts w:ascii="TH SarabunPSK" w:eastAsia="Calibri" w:hAnsi="TH SarabunPSK" w:cs="TH SarabunPSK"/>
          <w:sz w:val="32"/>
          <w:szCs w:val="32"/>
        </w:rPr>
        <w:t>1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 (ค.ศ. </w:t>
      </w:r>
      <w:r w:rsidR="008707A5">
        <w:rPr>
          <w:rFonts w:ascii="TH SarabunPSK" w:eastAsia="Calibri" w:hAnsi="TH SarabunPSK" w:cs="TH SarabunPSK"/>
          <w:sz w:val="32"/>
          <w:szCs w:val="32"/>
        </w:rPr>
        <w:t>2013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="008707A5">
        <w:rPr>
          <w:rFonts w:ascii="TH SarabunPSK" w:eastAsia="Calibri" w:hAnsi="TH SarabunPSK" w:cs="TH SarabunPSK"/>
          <w:sz w:val="32"/>
          <w:szCs w:val="32"/>
        </w:rPr>
        <w:t>2018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>)เช่น การเจรจาการจัดทำความตกลงการค้าเสรี การจัดทำบันทึกความเข้าใจระหว่างไทยกับตุรกีว่าด้วยความร่วมมือด้านการอุดศึกษา และบันทึกความเข้าใจระหว่างกรมความร่วมมือระหว่างประเทศกับหน่วยงานความร่วมมือและการประสานงานตุรกี (</w:t>
      </w:r>
      <w:r w:rsidRPr="00502554">
        <w:rPr>
          <w:rFonts w:ascii="TH SarabunPSK" w:eastAsia="Calibri" w:hAnsi="TH SarabunPSK" w:cs="TH SarabunPSK"/>
          <w:sz w:val="32"/>
          <w:szCs w:val="32"/>
        </w:rPr>
        <w:t>Turkish Cooperation and Coordination Agency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502554">
        <w:rPr>
          <w:rFonts w:ascii="TH SarabunPSK" w:eastAsia="Calibri" w:hAnsi="TH SarabunPSK" w:cs="TH SarabunPSK"/>
          <w:sz w:val="32"/>
          <w:szCs w:val="32"/>
        </w:rPr>
        <w:t>TIKA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>) ของตุรกี</w:t>
      </w:r>
    </w:p>
    <w:p w:rsidR="00502554" w:rsidRPr="00502554" w:rsidRDefault="00502554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02554" w:rsidRPr="00502554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21. </w:t>
      </w:r>
      <w:r w:rsidR="00502554" w:rsidRPr="00502554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เอกสารผลลัพธ์การประชุมคณะกรรมการร่วมว่าด้วยความร่วมมือทางเศรษฐกิจและวิชาการ ไทย-ตุรกี ครั้งที่ 4</w:t>
      </w:r>
    </w:p>
    <w:p w:rsidR="00502554" w:rsidRPr="00502554" w:rsidRDefault="00502554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เห็นชอบต่อร่างเอกสารผลลัพธ์การประชุมคณะกรรมการร่วมว่าด้วยความร่วมมือทางเศรษฐกิจและวิชาการไทย-ตุรกี ครั้งที่ 4 (</w:t>
      </w:r>
      <w:r w:rsidRPr="00502554">
        <w:rPr>
          <w:rFonts w:ascii="TH SarabunPSK" w:eastAsia="Calibri" w:hAnsi="TH SarabunPSK" w:cs="TH SarabunPSK"/>
          <w:sz w:val="32"/>
          <w:szCs w:val="32"/>
        </w:rPr>
        <w:t>Agreed Minutes of the Fourth Meeting of the Thai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 -</w:t>
      </w:r>
      <w:r w:rsidRPr="00502554">
        <w:rPr>
          <w:rFonts w:ascii="TH SarabunPSK" w:eastAsia="Calibri" w:hAnsi="TH SarabunPSK" w:cs="TH SarabunPSK"/>
          <w:sz w:val="32"/>
          <w:szCs w:val="32"/>
        </w:rPr>
        <w:t>Turkish Joint Committee on Economic and Technical Cooperation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>) ทั้งนี้หากมีความจำเป็นต้องแก้ไขร่างเอกสารผลลัพธ์การประชุมคณะกรรมการร่วมว่าด้วยความร่วมมือทางเศรษฐกิจและวิชาการไทย-ตุรกี ครั้งที่ 4 ในส่วนที่มิใช่สาระสำคัญหรือไม่ขัดต่อผลประโยชน์ของประเทศไทย ให้กระทรวงการต่างประเทศสามารถดำเนินการได้โดยไม่ต้องขอความเห็นชอบจากคณะรัฐมนตรีอีก รวมทั้ง ให้รองนายกรัฐมนตรีและรัฐมนตรีว่าการกระทรวงการต่างประเทศ หรือผู้แทนที่ได้รับมอบหมายจากรองนายกรัฐมนตรีและรัฐมนตรีว่าการกระทรวงการต่างประเทศ เป็นผู้ลงนามเอกสารผลลัพธ์การประชุมคณะกรรมการร่วมว่าด้วยความร่วมมือทางเศรษฐกิจและวิชาการไทย-ตุรกี ครั้งที่ 4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 ตามที่กระทรวงการต่างประเทศ (กต.) เสนอ</w:t>
      </w:r>
    </w:p>
    <w:p w:rsidR="00502554" w:rsidRPr="00502554" w:rsidRDefault="00502554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554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502554" w:rsidRPr="00502554" w:rsidRDefault="00502554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  <w:t>1. ร่างเอกสารผลลัพธ์การประชุมคณะกรรมการร่วมว่าด้วยความร่วมมือทางเศรษฐกิจและวิชาการไทย-ตุรกี ครั้งที่ 4 มีวัตถุประสงค์เพื่อเป็นกรอบกำหนดแนวทางการดำเนินความร่วมมือระหว่างประเทศไทยกับสาธารณรัฐตุรกี โดยเน้นการพัฒนาความร่วมมือทางเศรษฐกิจและวิชาการ บนพื้นฐานของผลประโยชน์ร่วมกัน ตลอดจนส่งเสริมความร่วมมือด้านการค้าและการลงทุน</w:t>
      </w:r>
    </w:p>
    <w:p w:rsidR="00502554" w:rsidRPr="00502554" w:rsidRDefault="00502554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554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  <w:t>2. ร่างเอกสารผลลัพธ์การประชุมคณะกรรมการร่วมว่าด้วยความร่วมมือทางเศรษฐกิจและวิชาการไทย-ตุรกี ครั้งที่ 4 ระบุความร่วมมือที่สำคัญใน 3 ส่วนที่ทั้งสองฝ่ายสามารถดำเนินการร่วมกันได้ ได้แก่</w:t>
      </w:r>
    </w:p>
    <w:p w:rsidR="00502554" w:rsidRPr="00502554" w:rsidRDefault="00502554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  <w:t>2.1 ส่วนที่ 1 การเน้นย้ำความสำเร็จของความตกลงที่ทั้งสองฝ่ายได้ดำเนินการร่วมกัน อาทิ การจัดทำบันทึกความเข้าใจระหว่างสำนักงานส่งเสริมวิสาหกิจขนาดกลางและขนาดย่อม (สสว.) ร่วมกับองค์การพัฒนาวิสาหกิจขนาดกลางและขนาดย่อมของตุรกี (</w:t>
      </w:r>
      <w:r w:rsidRPr="00502554">
        <w:rPr>
          <w:rFonts w:ascii="TH SarabunPSK" w:eastAsia="Calibri" w:hAnsi="TH SarabunPSK" w:cs="TH SarabunPSK"/>
          <w:sz w:val="32"/>
          <w:szCs w:val="32"/>
        </w:rPr>
        <w:t>KOSGEB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>) เมื่อวันที่ 3 ตุลาคม 2555 และการจัดทำบันทึกความเข้าใจระหว่างสำนักงานพัฒนาวิทยาศาสตร์และเทคโนโลยีแห่งชาติ (สวทช.) ร่วมกับ สถาบันวิจัยด้านวิทยาศาสตร์และเทคโนโลยีแห่งสาธารณรัฐตุรกี (</w:t>
      </w:r>
      <w:r w:rsidRPr="00502554">
        <w:rPr>
          <w:rFonts w:ascii="TH SarabunPSK" w:eastAsia="Calibri" w:hAnsi="TH SarabunPSK" w:cs="TH SarabunPSK"/>
          <w:sz w:val="32"/>
          <w:szCs w:val="32"/>
        </w:rPr>
        <w:t>TÜBİTAK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>) เมื่อวันที่ 22 พฤศจิกายน 2561</w:t>
      </w:r>
    </w:p>
    <w:p w:rsidR="00502554" w:rsidRPr="00502554" w:rsidRDefault="00502554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  <w:t>2.2 ส่วนที่ 2 การส่งเสริมความสัมพันธ์ด้านการค้าและการลงทุน โดยกล่าวถึงความสัมพันธ์ด้านการค้าทวิภาคีรวมถึงการจัดทำความตกลงการค้าเสรีไทย-ตุรกี การส่งเสริมกิจกรรมทางการค้า การลงทุนต่างตอบแทน ความเป็นหุ้นส่วนในภาคเอกชน ความร่วมมือในภาคการบริการ และภาคเทคโนโลยี การป้องกันประเทศและอุตสาหกรรม</w:t>
      </w:r>
    </w:p>
    <w:p w:rsidR="00502554" w:rsidRPr="00502554" w:rsidRDefault="00502554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  <w:t>2.3 ส่วนที่ 3 การส่งเสริมความร่วมมือทางเศรษฐกิจและวิชาการ โดยมีเนื้อหาที่ครอบคลุมประเด็นต่าง ๆ อาทิ วิทยาศาสตร์ เทคโนโลยี นวัตกรรม ความร่วมมือด้านพลังงาน ความร่วมมือด้านการรับรองมาตรฐานฮาลาล ความร่วมมือด้านการศึกษา สาธารณสุข และการพัฒนาในระดับภูมิภาค</w:t>
      </w:r>
    </w:p>
    <w:p w:rsidR="002D2635" w:rsidRPr="007F0A0C" w:rsidRDefault="002D2635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D2635" w:rsidRPr="007F0A0C" w:rsidTr="002F77E3">
        <w:tc>
          <w:tcPr>
            <w:tcW w:w="9820" w:type="dxa"/>
          </w:tcPr>
          <w:p w:rsidR="002D2635" w:rsidRPr="007F0A0C" w:rsidRDefault="002D2635" w:rsidP="007F0A0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C424B" w:rsidRPr="004C424B" w:rsidRDefault="00AB685B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22. </w:t>
      </w:r>
      <w:r w:rsidR="004C424B" w:rsidRPr="004C424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 </w:t>
      </w:r>
    </w:p>
    <w:p w:rsidR="004C424B" w:rsidRPr="004C424B" w:rsidRDefault="004C424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C424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72443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คณะรัฐมนตรีมีมติอนุมัติตามที่รัฐมนตรีว่าการกระทรวงสาธารณสุขเสนอแต่งตั้งข้าราชการพลเรือนสามัญ </w:t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 xml:space="preserve">สังกัดกระทรวงสาธารณสุข ให้ดำรงตำแหน่งประเภทวิชาการ ระดับทรงคุณวุฒิ จำนวน 3 ราย ตั้งแต่วันที่มีคุณสมบัติครบถ้วนสมบูรณ์ ดังนี้ </w:t>
      </w:r>
    </w:p>
    <w:p w:rsidR="004C424B" w:rsidRPr="004C424B" w:rsidRDefault="004C424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C424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</w:t>
      </w:r>
      <w:r w:rsidRPr="004C424B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นายทศเทพ บุญทอง</w:t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 xml:space="preserve"> สาธารณสุขนิเทศก์ (นายแพทย์เชี่ยวชาญ) สำนักงานปลัดกระทรวง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 xml:space="preserve">ดำรงตำแหน่ง สาธารณสุขนิเทศก์ (นายแพทย์ทรงคุณวุฒิ) สำนักงานปลัดกระทรวง ตั้งแต่วันที่ 9 กรกฎาคม 2564  </w:t>
      </w:r>
    </w:p>
    <w:p w:rsidR="004C424B" w:rsidRPr="004C424B" w:rsidRDefault="004C424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C424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4C424B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นางสาวอังคณา นรเศรษฐ์ธาดา</w:t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สาขาอายุรกรรม)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260D26">
        <w:rPr>
          <w:rFonts w:ascii="TH SarabunPSK" w:eastAsia="Calibri" w:hAnsi="TH SarabunPSK" w:cs="TH SarabunPSK"/>
          <w:spacing w:val="-4"/>
          <w:sz w:val="32"/>
          <w:szCs w:val="32"/>
          <w:cs/>
        </w:rPr>
        <w:t>กลุ่มงานอายุรกรรม โรงพยาบาลพุทธชินราช พิษณุโลก สำนักงานสาธารณสุขจังห</w:t>
      </w:r>
      <w:r w:rsidR="00260D26" w:rsidRPr="00260D26">
        <w:rPr>
          <w:rFonts w:ascii="TH SarabunPSK" w:eastAsia="Calibri" w:hAnsi="TH SarabunPSK" w:cs="TH SarabunPSK"/>
          <w:spacing w:val="-4"/>
          <w:sz w:val="32"/>
          <w:szCs w:val="32"/>
          <w:cs/>
        </w:rPr>
        <w:t>วัดพิษณุโลก สำนักงานปลัดกระทรวง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 xml:space="preserve">ดำรงตำแหน่ง นายแพทย์ทรงคุณวุฒิ (ด้านเวชกรรม สาขาอายุรกรรม) กลุ่มงานอายุรกรรม โรงพยาบาลหาดใหญ่ สำนักงานสาธารณสุขจังหวัดสงขลา สำนักงานปลัดกระทรวง ตั้งแต่วันที่ 13 มกราคม 2565 </w:t>
      </w:r>
    </w:p>
    <w:p w:rsidR="004C424B" w:rsidRPr="004C424B" w:rsidRDefault="004C424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C424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</w:t>
      </w:r>
      <w:r w:rsidRPr="004C424B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นางอุษณีย์ สังคมกำแหง</w:t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สาขาสูติ – นรีเวชกรรม)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 xml:space="preserve">กลุ่มงานสูติ – นรีเวชกรรม โรงพยาบาลขอนแก่น สำนักงานสาธารณสุขจังหวัดขอนแก่น สำนักงานปลัดกระทรวง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 xml:space="preserve">ดำรงตำแหน่ง นายแพทย์ทรงคุณวุฒิ (ด้านเวชกรรม สาขาสูติ – นรีเวชกรรม) โรงพยาบาลสรรพสิทธิประสงค์ สำนักงานสาธารณสุขจังหวัดอุบลราชธานี สำนักงานปลัดกระทรวง ตั้งแต่วันที่ 22 เมษายน 2565 </w:t>
      </w:r>
    </w:p>
    <w:p w:rsidR="004C424B" w:rsidRPr="004C424B" w:rsidRDefault="004C424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C424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4C424B" w:rsidRPr="004C424B" w:rsidRDefault="004C424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C424B" w:rsidRPr="004C424B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23. </w:t>
      </w:r>
      <w:r w:rsidR="004C424B" w:rsidRPr="004C424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การแต่งตั้งข้าราชการพลเรือนสามัญให้ดำรงตำแหน่งประเภทวิชาการระดับทรงคุณวุฒิ (สำนักงานป้องกันและปราบปรามการฟอกเงิน) </w:t>
      </w:r>
    </w:p>
    <w:p w:rsidR="004C424B" w:rsidRPr="007F0A0C" w:rsidRDefault="004C424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C424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2A8F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คณะรัฐมนตรีมีมติอนุมัติตามที่รองนายกรัฐมนตรี (นายวิษณุ เครืองาม) เสนอแต่งตั้ง </w:t>
      </w:r>
      <w:r w:rsidRPr="00332A8F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นายนพดล อุเทน</w:t>
      </w:r>
      <w:r w:rsidRPr="00332A8F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 xml:space="preserve">ผู้อำนวยการกองข่าวกรองทางการเงิน สำนักงานป้องกันและปราบปรามการฟอกเงิน ให้ดำรงตำแหน่ง ที่ปรึกษาด้านกฎหมายและพัฒนามาตรการป้องกันและปราบปรามการฟอกเงิน (นิติกรทรงคุณวุฒิ) สำนักงานป้องกันและปราบปรามการฟอกเงิน ตั้งแต่วันที่ 6 กันยายน 2565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E2651B" w:rsidRPr="007F0A0C" w:rsidRDefault="00E2651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2651B" w:rsidRPr="00E2651B" w:rsidRDefault="00AB685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pacing w:val="-6"/>
          <w:sz w:val="32"/>
          <w:szCs w:val="32"/>
          <w:cs/>
        </w:rPr>
        <w:t xml:space="preserve">24. </w:t>
      </w:r>
      <w:r w:rsidR="00E2651B" w:rsidRPr="00E2651B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</w:rPr>
        <w:t>เรื่อง  การแต่งตั้งข้าราชการพลเรือนสามัญให้ดำรงตำแหน่งประเภทบริหารระดับสูง</w:t>
      </w:r>
      <w:r w:rsidR="00E2651B" w:rsidRPr="007F0A0C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E2651B" w:rsidRPr="00E2651B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</w:rPr>
        <w:t>(กระทรวงการต่างประเทศ)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คณะรัฐมนตรีมีมติอนุมัติตามที่รัฐมนตรีว่าการกระทรวงการต่างประเทศเสนอแต่งตั้งข้าราชการ</w:t>
      </w:r>
      <w:r w:rsidR="00B4745E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 xml:space="preserve">พลเรือนสามัญ  สังกัดกระทรวงการต่างประเทศ ให้ดำรงตำแหน่งประเภทบริหารระดับสูง จำนวน </w:t>
      </w:r>
      <w:r w:rsidRPr="00E2651B">
        <w:rPr>
          <w:rFonts w:ascii="TH SarabunPSK" w:eastAsia="Cordia New" w:hAnsi="TH SarabunPSK" w:cs="TH SarabunPSK"/>
          <w:sz w:val="32"/>
          <w:szCs w:val="32"/>
        </w:rPr>
        <w:t>2</w:t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 xml:space="preserve"> ราย เพื่อทดแทนตำแหน่งที่ว่าง ดังนี้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2651B">
        <w:rPr>
          <w:rFonts w:ascii="TH SarabunPSK" w:eastAsia="Cordia New" w:hAnsi="TH SarabunPSK" w:cs="TH SarabunPSK"/>
          <w:sz w:val="32"/>
          <w:szCs w:val="32"/>
          <w:cs/>
        </w:rPr>
        <w:lastRenderedPageBreak/>
        <w:tab/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1. </w:t>
      </w:r>
      <w:r w:rsidRPr="00E2651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นายศิระ สว่างศิลป์</w:t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 xml:space="preserve"> อัครราชทูต สถานเอกอัครราชทูต ณ กรุงแคนเบอร์รา เครือรัฐออสเตรเลีย ให้ดำรงตำเหน่ง เอกอัครราชทูต สถานเอกอัครราชทูต ณ กรุงโดฮา รัฐกาตาร์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2651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  <w:t>2.</w:t>
      </w:r>
      <w:r w:rsidRPr="00E2651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นายฟาบีโอ จินดา</w:t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 xml:space="preserve"> กงสุลใหญ่ สถานกงสุลใหญ่ ณ นครนิวยอร์ก สหรัฐอเมริกา ให้ดำรงตำแหน่ง เอกอัครราชทูต สถานเอกอัครราชทูต ณ กรุงราบัต ราชอาณาจักรโมร็อกโก</w:t>
      </w:r>
    </w:p>
    <w:p w:rsidR="00E2651B" w:rsidRPr="00E2651B" w:rsidRDefault="00B4745E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E2651B" w:rsidRPr="00E2651B">
        <w:rPr>
          <w:rFonts w:ascii="TH SarabunPSK" w:eastAsia="Cordia New" w:hAnsi="TH SarabunPSK" w:cs="TH SarabunPSK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ซึ่งการแต่งตั้งข้าราชการให้ไปดำรงตำแหน่งเอกอัครราชทูตประจำต่างประเทศทั้งสองรายดังกล่าว ได้รับความเห็นชอบจากประเทศผู้รับ 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E2651B" w:rsidRPr="00E2651B" w:rsidRDefault="00AB685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25. </w:t>
      </w:r>
      <w:r w:rsidR="00E2651B" w:rsidRPr="00E2651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เรื่อง  การแต่งตั้งข้าราชการการเมือง  (สำนักเลขาธิการนายกรัฐมนตรี) 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การแต่งตั้งบุคคลให้ดำรงตำแหน่งข้าราชการการเมือง ตำแหน่งประจำสำนักเลขาธิการนายกรัฐมนตรี  จำนวน 2 ราย ดังนี้ 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1. </w:t>
      </w:r>
      <w:r w:rsidRPr="00E2651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นายสยาม บางกุลธรรม</w:t>
      </w:r>
    </w:p>
    <w:p w:rsidR="00E2651B" w:rsidRPr="00E2651B" w:rsidRDefault="00E2651B" w:rsidP="007F0A0C">
      <w:pPr>
        <w:spacing w:after="0" w:line="320" w:lineRule="exact"/>
        <w:ind w:left="144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2651B">
        <w:rPr>
          <w:rFonts w:ascii="TH SarabunPSK" w:eastAsia="Cordia New" w:hAnsi="TH SarabunPSK" w:cs="TH SarabunPSK"/>
          <w:sz w:val="32"/>
          <w:szCs w:val="32"/>
          <w:cs/>
        </w:rPr>
        <w:t xml:space="preserve">2. </w:t>
      </w:r>
      <w:r w:rsidRPr="00E2651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นายเนวินธุ์ ช่อชัยทิพฐ์ </w:t>
      </w:r>
    </w:p>
    <w:p w:rsidR="00E2651B" w:rsidRPr="00E2651B" w:rsidRDefault="00E2651B" w:rsidP="007F0A0C">
      <w:pPr>
        <w:spacing w:after="0" w:line="320" w:lineRule="exact"/>
        <w:ind w:left="144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2651B">
        <w:rPr>
          <w:rFonts w:ascii="TH SarabunPSK" w:eastAsia="Cordia New" w:hAnsi="TH SarabunPSK" w:cs="TH SarabunPSK"/>
          <w:sz w:val="32"/>
          <w:szCs w:val="32"/>
          <w:cs/>
        </w:rPr>
        <w:t xml:space="preserve">ทั้งนี้  ตั้งแต่วันที่ 17 มกราคม 2566 เป็นต้นไป 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E2651B" w:rsidRPr="00E2651B" w:rsidRDefault="00AB685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26. </w:t>
      </w:r>
      <w:r w:rsidR="00E2651B" w:rsidRPr="00E2651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เรื่อง การพิจารณาแต่งตั้งกรรมการในคณะกรรมการสภาวิศวกร 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คณะรัฐมนตรีมีมติอนุมัติตามที่กระทรวงมหาดไทยเสนอแต่งตั้งกรรมการในคณะกรรมการสภาวิศวกร  ดังนี้ 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1. </w:t>
      </w:r>
      <w:r w:rsidRPr="00E2651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นายพิศุทธิ์ สุขุม</w:t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 xml:space="preserve"> คุณวุฒิวิศวกรรมศาสตรมหาบัณฑิต ปัจจุบันดำรงตำแหน่งวิศวกรใหญ่กรมโยธาธิการและผังเมือง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2. </w:t>
      </w:r>
      <w:r w:rsidRPr="00E2651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นายประเสริฐ วรปัญญา</w:t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 xml:space="preserve"> คุณวุฒิวิศวกรรมศาสตรบัณฑิต ปัจจุบันดำรงตำแหน่ง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2651B">
        <w:rPr>
          <w:rFonts w:ascii="TH SarabunPSK" w:eastAsia="Cordia New" w:hAnsi="TH SarabunPSK" w:cs="TH SarabunPSK"/>
          <w:sz w:val="32"/>
          <w:szCs w:val="32"/>
          <w:cs/>
        </w:rPr>
        <w:t>กรรมการผู้จัดการ บริษัท ทองมาคอนแทรคเตอร์ จำกัด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3. </w:t>
      </w:r>
      <w:r w:rsidRPr="00E2651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นายสมเกียรติ ศิลวัฒนาวงศ์</w:t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 xml:space="preserve"> คุณวุฒิวิศวกรรมศาสตรบัณฑิต ปัจจุบันดำรงตำแหน่งประธานเจ้าหน้าที่บริหาร บริษัท สโตนเฮ้นจ์ อินเตอร์ จำกัด (มหาชน)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4. </w:t>
      </w:r>
      <w:r w:rsidRPr="00E2651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นายเอนก ศิริพานิชกร</w:t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 xml:space="preserve"> คุณวุฒิวิศวกรรมศาสตรมหาบัณฑิต ปัจจุบันดำรงตำแหน่งผู้อำนวยการสำนักวิจัยและบริการวิทยาศาสตร์และเทคโนโลยี มหาวิทยาลัยเทคโนโลยีพระจอมเกล้าธนบุรี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5. </w:t>
      </w:r>
      <w:r w:rsidRPr="00E2651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นายอาทร สินสวัสดิ์</w:t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 xml:space="preserve"> คุณวุฒิวิศวกรรมศาสตรบัณฑิต อดีตผู้ว่าการการไฟฟ้านครหลวง </w:t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4745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>โดยให้มีผลตั้งแต่วันที่ 17 มกราคม 2566 เป็นต้นไป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E2651B" w:rsidRPr="00E2651B" w:rsidRDefault="00AB685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27. </w:t>
      </w:r>
      <w:r w:rsidR="00E2651B" w:rsidRPr="00E2651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  ขอยกเลิกมติคณะรัฐมนตรีเมื่อวันที่ 20 ธันวาคม 2565 เรื่อง การแต่งตั้งข้าราชการพลเรือนสามัญให้ดำรงตำแหน่งประเภทบริหารระดับสูง ราย นายวัลลพ สงวนนาม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คณะรัฐมนตรีมีมติเห็นชอบตามที่รัฐมนตรีว่าการกระทรวงศึกษาธิการเสนอ ยกเลิกมติคณะรัฐมนตรีเมื่อวันที่ 20 ธันวาคม 2565 เรื่อง การแต่งตั้งข้าราชการพลเรือนสามัญให้ดำรงตำแหน่งประเภทบริหารระดับสูง </w:t>
      </w:r>
      <w:r w:rsidR="00332A8F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 xml:space="preserve">ราย </w:t>
      </w:r>
      <w:r w:rsidRPr="00E2651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นายวัลลพ สงวนนาม </w:t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 xml:space="preserve">เนื่องจาก นายวัลลพฯ ได้รับอนุญาตให้ลาออกจากราชการตั้งแต่วันที่ 1 มกราคม 2566 </w:t>
      </w:r>
    </w:p>
    <w:p w:rsidR="00E2651B" w:rsidRPr="004C424B" w:rsidRDefault="00E2651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A34F55" w:rsidRPr="00A34F55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28. </w:t>
      </w:r>
      <w:r w:rsidR="00A34F55" w:rsidRPr="00A34F55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แต่งตั้งคณะกรรมการพิจารณาค่าตอบแทนกำลังคนด้านสาธารณสุข และคณะอนุกรรมการพิจารณาพื้นที่พิเศษสำหรับค่าตอบแทนเบี้ยเลี้ยงเหมาจ่าย ตามระเบียบกระทรวงการคลังว่าด้วยการเบิกจ่ายค่าตอบแทนเบี้ยเลี้ยงเหมาจ่ายสำหรับกำลังคนด้านสาธารณสุขที่ปฏิบัติงานในพื้นที่พิเศษ พ.ศ. 2548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คณะรัฐมนตรีมีมติอนุมัติตามที่กระทรวงสาธารณสุข (สธ.) เสนอแต่งตั้ง ดังนี้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  <w:t>1. คณะกรรมการพิจารณาค่าตอบแทนกำลังคนด้านสาธารณสุข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  <w:t>2. คณะอนุกรรมการพิจารณาพื้นที่พิเศษสำหรับค่าตอบแทนเบี้ยเลี้ยงเหมาจ่ายตามระเบียบกระทรวงการคลังว่าด้วยการเบิกจ่ายค่าตอบแทนเบี้ยเลี้ยงเหมาจ่ายสำหรับกำลังคนด้านสาธารณสุขที่ปฏิบัติงาน</w:t>
      </w:r>
      <w:r w:rsidR="00332A8F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ในพื้นที่พิเศษ พ.ศ. 2548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  <w:t>โดยให้มีผลตั้งแต่วันที่ 17 มกราคม 2566 เป็นต้นไป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ทั้งนี้ ให้กระทรวงสาธารณสุขและสำนักงานตำรวจแห่งชาติ (โรงพยาบาลตำรวจ) รับความเห็นของสำนักงาน ก.พ.ร. ไปพิจารณาดำเนินการต่อไป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111"/>
      </w:tblGrid>
      <w:tr w:rsidR="00A34F55" w:rsidRPr="00A34F55" w:rsidTr="007F0A0C">
        <w:tc>
          <w:tcPr>
            <w:tcW w:w="9493" w:type="dxa"/>
            <w:gridSpan w:val="2"/>
          </w:tcPr>
          <w:p w:rsidR="00A34F55" w:rsidRPr="00A34F55" w:rsidRDefault="00A34F55" w:rsidP="00B4745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คณะกรรมการพิจารณาค่าตอบแทนกำลังคนด้านสาธารณสุข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รัฐมนตรีว่าการกระทรวงสาธารณสุข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ประธานกรรมการ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ปลัดกระทรวงสาธารณสุข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รองประธานกรรมการ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ปลัดกระทรวงการคลัง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รองประธานกรรมการ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ปลัดกระทรวงกลาโหมหรือผู้แทน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ปลัดกระทรวงมหาดไทยหรือผู้แทน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6. ปลัดกรุงเทพมหานครหรือผู้แทน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7. เลขาธิการ ก.พ. หรือผู้แทน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8. เลขาธิการ ก.พ.ร. หรือผู้แทน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9. ปลัดกระทรวงการอุดมศึกษา วิทยาศาสตร์ วิจัยและนวัตกรรมหรือผู้แทน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10. ผู้อำนวยการสำนักงบประมาณหรือผู้แทน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11. ผู้บัญชาการตำรวจแห่งชาติหรือผู้แทน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12. รองปลัดกระทรวงสาธารณสุข ที่ปลัดกระทรวงสาธารณสุขมอบหมาย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กรรมการและเลขานุการ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13. รองปลัดกระทรวงการคลัง ที่ปลัดกระทรวงการคลังมอบหมาย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กรรมการและเลขานุการร่วม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14. อธิบดีกรมบัญชีกลาง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กรรมการและเลขานุการร่วม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15. ผู้อำนวยการสำนักวิจัยและพัฒนาระบบงานบุคคล สำนักงาน ก.พ. 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กรรมการและผู้ช่วยเลขานุการ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16. ผู้อำนวยการกองยุทธศาสตร์และแผนงาน สำนักงานปลัดกระทรวงสาธารณสุข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กรรมการและผู้ช่วยเลขานุการ</w:t>
            </w:r>
          </w:p>
        </w:tc>
      </w:tr>
      <w:tr w:rsidR="00A34F55" w:rsidRPr="00A34F55" w:rsidTr="007F0A0C">
        <w:tc>
          <w:tcPr>
            <w:tcW w:w="9493" w:type="dxa"/>
            <w:gridSpan w:val="2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หน้าที่และอำนาจ</w:t>
            </w:r>
          </w:p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กำกับดูแล และวินิจฉัยปัญหา ที่เกี่ยวกับการจ่ายค่าตอบแทนตามระเบียบกระทรวงการคลังว่าด้วยการเบิกจ่ายค่าตอบแทนเบี้ยเลี้ยงเหมาจ่ายสำหรับกำลังคนด้านสาธารณสุขที่ปฏิบัติงานในพื้นที่พิเศษ พ.ศ. 2548</w:t>
            </w:r>
          </w:p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แต่งตั้งคณะอนุกรรมการหรือคณะทำงานได้ตามความเหมาะสม</w:t>
            </w:r>
          </w:p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ปฏิบัติงานหรือดำเนินการอื่นใดที่เกี่ยวข้อง</w:t>
            </w:r>
          </w:p>
        </w:tc>
      </w:tr>
    </w:tbl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4070"/>
      </w:tblGrid>
      <w:tr w:rsidR="00A34F55" w:rsidRPr="00A34F55" w:rsidTr="007F0A0C">
        <w:tc>
          <w:tcPr>
            <w:tcW w:w="9594" w:type="dxa"/>
            <w:gridSpan w:val="2"/>
          </w:tcPr>
          <w:p w:rsidR="00A34F55" w:rsidRPr="00A34F55" w:rsidRDefault="00A34F55" w:rsidP="00B4745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คณะอนุกรรมการพิจารณาพื้นที่พิเศษสำหรับค่าตอบแทนเบี้ยเลี้ยงเหมาจ่าย ตามระเบียบกระทรวงการคลังว่าด้วยการเบิกจ่ายค่าตอบแทนเบี้ยเลี้ยงเหมาจ่ายสำหรับกำลังคนด้านสาธารณสุขที่ปฏิบัติงานในพื้นที่พิเศษ พ.ศ. 2548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รองปลัดกระทรวงสาธารณสุข ที่ปลัดกระทรวงสาธารณสุขมอบหมาย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ประธานอนุกรรมการ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2. ผู้ตรวจราชการกระทรวงสาธารณสุขเขตสุขภาพที่ 1 – 13 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ผู้แทนกระทรวงกลาโหม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ผู้แทนกระทรวงมหาดไทย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ผู้แทนกระทรวงการอุดมศึกษา วิทยาศาสตร์ วิจัยและนวัตกรรม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6. ผู้แทนสำนักงาน ก.พ.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7. ผู้แทนสำนักงบประมาณ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8. ผู้แทนสำนักงาน ก.พ.ร. 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9. ผู้แทนสำนักงานตำรวจแห่งชาติ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10. ผู้แทนกรมบัญชีกลาง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11. ผู้แทนกรุงเทพมหานคร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12. ผู้แทนสำนักงานหลักประกันสุขภาพแห่งชาติ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13. นายแพทย์สาธารณสุขจังหวัด จำนวน 2 ราย ที่ปลัดกระทรวงสาธารณสุขมอบหมาย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14. ผู้อำนวยการโรงพยาบาลศูนย์/โรงพยาบาลทั่วไป จำนวน 2 ราย ที่ปลัดกระทรวงสาธารณสุขมอบหมาย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15. ผู้อำนวยการโรงพยาบาลชุมชน จำนวน 2 ราย ที่ปลัดกระทรวงสาธารณสุขมอบหมาย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16. ผู้อำนวยการกองเศรษฐกิจสุขภาพและหลักประกันสุขภาพ สำนักงานปลัดกระทรวงสาธารณสุข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17. ผู้อำนวยการกองยุทธศาสตร์และแผนงาน สำนักงานปลัดกระทรวงสาธารณสุข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อนุกรรมการและเลขานุการ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18. ผู้อำนวยการกองกฎหมาย สำนักงานปลัดกระทรวงสาธารณสุข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อนุกรรมการและเลขานุการร่วม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19. หัวหน้ากลุ่มพัฒนาและขับเคลื่อนนโยบายด้านสุขภาพ สำนักงานปลัดกระทรวงสาธารณสุข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อนุกรรมการและผู้ช่วยเลขานุการ</w:t>
            </w:r>
          </w:p>
        </w:tc>
      </w:tr>
      <w:tr w:rsidR="00A34F55" w:rsidRPr="00A34F55" w:rsidTr="007F0A0C">
        <w:tc>
          <w:tcPr>
            <w:tcW w:w="9594" w:type="dxa"/>
            <w:gridSpan w:val="2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หน้าที่และอำนาจ</w:t>
            </w:r>
          </w:p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พิจารณากำหนดพื้นที่พิเศษสำหรับค่าตอบแทนเบี้ยเลี้ยงเหมาจ่ายทั้งพื้นที่ระดับจังหวัด และระดับอำเภอตามระเบียบกระทรวงการคลังว่าด้วยการเบิกจ่ายค่าตอบแทนเบี้ยเลี้ยงเหมาจ่ายสำหรับกำลังคนด้านสาธารณสุขที่ปฏิบัติงานในพื้นที่พิเศษ พ.ศ. 2548</w:t>
            </w:r>
          </w:p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ปฏิบัติงานหรือดำเนินการอื่นใดที่เกี่ยวข้อง</w:t>
            </w:r>
          </w:p>
        </w:tc>
      </w:tr>
    </w:tbl>
    <w:p w:rsidR="004C424B" w:rsidRDefault="004C424B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E7371" w:rsidRDefault="005E7371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E7371" w:rsidRPr="007F0A0C" w:rsidRDefault="005E7371" w:rsidP="005E7371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_______________________________________</w:t>
      </w:r>
    </w:p>
    <w:sectPr w:rsidR="005E7371" w:rsidRPr="007F0A0C" w:rsidSect="00826E30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08D" w:rsidRDefault="0084308D" w:rsidP="004910B6">
      <w:pPr>
        <w:spacing w:after="0" w:line="240" w:lineRule="auto"/>
      </w:pPr>
      <w:r>
        <w:separator/>
      </w:r>
    </w:p>
  </w:endnote>
  <w:endnote w:type="continuationSeparator" w:id="0">
    <w:p w:rsidR="0084308D" w:rsidRDefault="0084308D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TH Chakra Petch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08D" w:rsidRDefault="0084308D" w:rsidP="004910B6">
      <w:pPr>
        <w:spacing w:after="0" w:line="240" w:lineRule="auto"/>
      </w:pPr>
      <w:r>
        <w:separator/>
      </w:r>
    </w:p>
  </w:footnote>
  <w:footnote w:type="continuationSeparator" w:id="0">
    <w:p w:rsidR="0084308D" w:rsidRDefault="0084308D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7F0A0C" w:rsidRDefault="007F0A0C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06E79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7F0A0C" w:rsidRDefault="007F0A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3469"/>
    <w:multiLevelType w:val="hybridMultilevel"/>
    <w:tmpl w:val="70F4B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23EE7"/>
    <w:rsid w:val="00072443"/>
    <w:rsid w:val="00092415"/>
    <w:rsid w:val="000C076F"/>
    <w:rsid w:val="000C1D27"/>
    <w:rsid w:val="000C5D3E"/>
    <w:rsid w:val="000C6F31"/>
    <w:rsid w:val="001235B0"/>
    <w:rsid w:val="00155BA1"/>
    <w:rsid w:val="00182D34"/>
    <w:rsid w:val="0020153E"/>
    <w:rsid w:val="002139BD"/>
    <w:rsid w:val="00260D26"/>
    <w:rsid w:val="00291D34"/>
    <w:rsid w:val="002D2635"/>
    <w:rsid w:val="002F77E3"/>
    <w:rsid w:val="00332A8F"/>
    <w:rsid w:val="00347106"/>
    <w:rsid w:val="0035275A"/>
    <w:rsid w:val="0036651E"/>
    <w:rsid w:val="003C3ED6"/>
    <w:rsid w:val="00401944"/>
    <w:rsid w:val="00410BA9"/>
    <w:rsid w:val="004549A1"/>
    <w:rsid w:val="004910B6"/>
    <w:rsid w:val="004C424B"/>
    <w:rsid w:val="00502554"/>
    <w:rsid w:val="00532486"/>
    <w:rsid w:val="005E0608"/>
    <w:rsid w:val="005E7371"/>
    <w:rsid w:val="005F667A"/>
    <w:rsid w:val="00610449"/>
    <w:rsid w:val="00632733"/>
    <w:rsid w:val="007E204A"/>
    <w:rsid w:val="007F0A0C"/>
    <w:rsid w:val="008217D3"/>
    <w:rsid w:val="00826E30"/>
    <w:rsid w:val="0084308D"/>
    <w:rsid w:val="00860D85"/>
    <w:rsid w:val="008707A5"/>
    <w:rsid w:val="00882822"/>
    <w:rsid w:val="008A258F"/>
    <w:rsid w:val="008D1044"/>
    <w:rsid w:val="00935CBC"/>
    <w:rsid w:val="00941101"/>
    <w:rsid w:val="0096509E"/>
    <w:rsid w:val="009B0AC8"/>
    <w:rsid w:val="00A06E79"/>
    <w:rsid w:val="00A34F55"/>
    <w:rsid w:val="00A71DFD"/>
    <w:rsid w:val="00A823C5"/>
    <w:rsid w:val="00A85D72"/>
    <w:rsid w:val="00AB685B"/>
    <w:rsid w:val="00AC7765"/>
    <w:rsid w:val="00AD330A"/>
    <w:rsid w:val="00B04917"/>
    <w:rsid w:val="00B14938"/>
    <w:rsid w:val="00B4745E"/>
    <w:rsid w:val="00BB1795"/>
    <w:rsid w:val="00BD7147"/>
    <w:rsid w:val="00C04612"/>
    <w:rsid w:val="00C52501"/>
    <w:rsid w:val="00C61B46"/>
    <w:rsid w:val="00C869F9"/>
    <w:rsid w:val="00CC59F1"/>
    <w:rsid w:val="00D22996"/>
    <w:rsid w:val="00D53E93"/>
    <w:rsid w:val="00D96C06"/>
    <w:rsid w:val="00DC0589"/>
    <w:rsid w:val="00DD1C0B"/>
    <w:rsid w:val="00DE0ABC"/>
    <w:rsid w:val="00DF4F39"/>
    <w:rsid w:val="00E2651B"/>
    <w:rsid w:val="00E837AF"/>
    <w:rsid w:val="00E97642"/>
    <w:rsid w:val="00EB3631"/>
    <w:rsid w:val="00EB692F"/>
    <w:rsid w:val="00F77F6E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8CDD9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363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97642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F77E3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F77E3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2F77E3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2F77E3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34710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96509E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40</Pages>
  <Words>18117</Words>
  <Characters>103273</Characters>
  <Application>Microsoft Office Word</Application>
  <DocSecurity>0</DocSecurity>
  <Lines>860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Phitchayaphak Sakunsuphakdi</cp:lastModifiedBy>
  <cp:revision>56</cp:revision>
  <cp:lastPrinted>2023-01-17T09:32:00Z</cp:lastPrinted>
  <dcterms:created xsi:type="dcterms:W3CDTF">2023-01-16T07:26:00Z</dcterms:created>
  <dcterms:modified xsi:type="dcterms:W3CDTF">2023-01-17T09:34:00Z</dcterms:modified>
</cp:coreProperties>
</file>