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42E" w14:textId="77777777" w:rsidR="006E0410" w:rsidRDefault="006E0410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 w:hint="cs"/>
          <w:noProof/>
          <w:sz w:val="32"/>
          <w:szCs w:val="32"/>
          <w:cs/>
        </w:rPr>
      </w:pPr>
    </w:p>
    <w:p w14:paraId="21770DBE" w14:textId="6DFDA907" w:rsidR="00EF2822" w:rsidRDefault="00EF2822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A1E4B97" w14:textId="0BDEC3D6" w:rsidR="00EF2822" w:rsidRPr="00B16BD4" w:rsidRDefault="00EF2822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B16BD4" w:rsidRPr="00B16BD4">
        <w:rPr>
          <w:rFonts w:asciiTheme="minorBidi" w:hAnsiTheme="minorBidi" w:cstheme="minorBidi"/>
          <w:noProof/>
          <w:sz w:val="28"/>
        </w:rPr>
        <w:t>10</w:t>
      </w:r>
      <w:r w:rsidR="00966CC7" w:rsidRPr="00B16BD4">
        <w:rPr>
          <w:rFonts w:asciiTheme="minorBidi" w:hAnsiTheme="minorBidi" w:cstheme="minorBidi"/>
          <w:noProof/>
          <w:sz w:val="28"/>
          <w:cs/>
        </w:rPr>
        <w:t xml:space="preserve"> </w:t>
      </w:r>
      <w:r w:rsidRPr="00B16BD4">
        <w:rPr>
          <w:rFonts w:asciiTheme="minorBidi" w:hAnsiTheme="minorBidi" w:cstheme="minorBidi"/>
          <w:noProof/>
          <w:sz w:val="28"/>
          <w:cs/>
        </w:rPr>
        <w:t xml:space="preserve">ตุลาคม </w:t>
      </w:r>
      <w:r w:rsidRPr="00B16BD4">
        <w:rPr>
          <w:rFonts w:asciiTheme="minorBidi" w:hAnsiTheme="minorBidi" w:cstheme="minorBidi"/>
          <w:noProof/>
          <w:sz w:val="28"/>
        </w:rPr>
        <w:t>25</w:t>
      </w:r>
      <w:r w:rsidR="001B1824" w:rsidRPr="00B16BD4">
        <w:rPr>
          <w:rFonts w:asciiTheme="minorBidi" w:hAnsiTheme="minorBidi" w:cstheme="minorBidi"/>
          <w:noProof/>
          <w:sz w:val="28"/>
        </w:rPr>
        <w:t>66</w:t>
      </w:r>
    </w:p>
    <w:p w14:paraId="3D7B31CB" w14:textId="77777777" w:rsidR="00EF2822" w:rsidRPr="00EF2822" w:rsidRDefault="00EF2822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6638B995" w14:textId="4453FA25" w:rsidR="006E0410" w:rsidRDefault="006E0410" w:rsidP="006E0410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>3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2566</w:t>
      </w:r>
      <w:r w:rsidR="001C551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="001C551E" w:rsidRPr="001C551E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เพิ่มขึ้นร้อยละ </w:t>
      </w:r>
      <w:r w:rsidR="001C551E" w:rsidRPr="001C551E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1.5</w:t>
      </w:r>
    </w:p>
    <w:p w14:paraId="7B9FE3AD" w14:textId="6F75C66B" w:rsidR="001C551E" w:rsidRDefault="001C551E" w:rsidP="001C551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1C551E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ราคาเหล็กและผลิตภัณฑ์เหล็กลดลงมากที่สุดถึงร้อยละ -9.6</w:t>
      </w:r>
    </w:p>
    <w:p w14:paraId="35451222" w14:textId="77777777" w:rsidR="001C551E" w:rsidRDefault="001C551E" w:rsidP="006E0410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59F96A70" w14:textId="583B5CBF" w:rsidR="006E0410" w:rsidRPr="006C1BB8" w:rsidRDefault="006C1BB8" w:rsidP="006C1BB8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6C1B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3 ปี 2566 </w:t>
      </w:r>
      <w:bookmarkStart w:id="0" w:name="_Hlk147499631"/>
      <w:r w:rsidRPr="006C1B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เพิ่มขึ้นร้อยละ 1.5 </w:t>
      </w:r>
      <w:bookmarkEnd w:id="0"/>
      <w:r w:rsidRPr="006C1B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มีค่าดัชนีเท่ากับ 134.2 ปัจจัยที่</w:t>
      </w:r>
      <w:r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สำคัญมาจาก</w:t>
      </w:r>
      <w:r w:rsidRPr="006C1BB8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ค่าตอบแทนในหมวดงานออกแบบก่อสร้างและงานระบบ เพิ่มขึ้นร้อยละ 3.6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ขณะที่</w:t>
      </w:r>
      <w:r w:rsidR="001C551E" w:rsidRPr="001C551E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เหล็กและผลิตภัณฑ์เหล็กราคาลดลงร้อยละ -9.6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07543EC" w14:textId="77777777" w:rsidR="006E0410" w:rsidRPr="00972391" w:rsidRDefault="006E0410" w:rsidP="006C1BB8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</w:p>
    <w:p w14:paraId="3DBB8A87" w14:textId="3644B67E" w:rsidR="006E0410" w:rsidRPr="005477DE" w:rsidRDefault="00EF2822" w:rsidP="006E0410">
      <w:pPr>
        <w:spacing w:after="0" w:line="240" w:lineRule="auto"/>
        <w:ind w:firstLine="720"/>
        <w:jc w:val="thaiDistribute"/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</w:pP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ศูนย์ข้อมูลอสังหาริมทรัพย์</w:t>
      </w:r>
      <w:r w:rsidRPr="00EF282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ธนาคารอาคารสงเคราะห์ </w:t>
      </w:r>
      <w:r w:rsidR="006C1BB8"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="006C1BB8" w:rsidRPr="00EF2822">
        <w:rPr>
          <w:rFonts w:asciiTheme="minorBidi" w:hAnsiTheme="minorBidi" w:cstheme="minorBidi"/>
          <w:color w:val="000000" w:themeColor="text1"/>
          <w:sz w:val="32"/>
          <w:szCs w:val="32"/>
        </w:rPr>
        <w:t>REIC</w:t>
      </w:r>
      <w:r w:rsidR="006C1BB8"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)</w:t>
      </w:r>
      <w:r w:rsidR="006C1BB8" w:rsidRPr="00EF2822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EF2822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รายงาน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 ไตรมาส 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="006E0410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มีค่าดัชนีเท่ากับ 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134.2</w:t>
      </w:r>
      <w:r w:rsidR="006E0410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เพิ่มขึ้น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0.1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6E0410"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เมื่อเทียบกับไตรมาส</w:t>
      </w:r>
      <w:r w:rsidR="006E0410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E0410">
        <w:rPr>
          <w:rFonts w:asciiTheme="minorBidi" w:hAnsiTheme="minorBidi"/>
          <w:color w:val="000000" w:themeColor="text1"/>
          <w:sz w:val="32"/>
          <w:szCs w:val="32"/>
        </w:rPr>
        <w:t>2</w:t>
      </w:r>
      <w:r w:rsidR="006E0410" w:rsidRPr="004A10A1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ปี</w:t>
      </w:r>
      <w:r w:rsidR="006E0410" w:rsidRPr="004A10A1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</w:t>
      </w:r>
      <w:r w:rsidR="006E041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2566</w:t>
      </w:r>
      <w:r w:rsidR="006E0410" w:rsidRPr="00122FF9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6E0410" w:rsidRPr="00EA6426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(QoQ</w:t>
      </w:r>
      <w:r w:rsidR="006E0410" w:rsidRPr="008247FB">
        <w:rPr>
          <w:rFonts w:asciiTheme="minorBidi" w:hAnsiTheme="minorBidi" w:cstheme="minorBidi"/>
          <w:spacing w:val="-4"/>
          <w:sz w:val="32"/>
          <w:szCs w:val="32"/>
        </w:rPr>
        <w:t>)</w:t>
      </w:r>
      <w:r w:rsidR="006E0410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และ</w:t>
      </w:r>
      <w:r w:rsidR="006E0410" w:rsidRPr="00B133A3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ร้อยละ</w:t>
      </w:r>
      <w:r w:rsidR="006E0410"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1.5</w:t>
      </w:r>
      <w:r w:rsidR="006E0410" w:rsidRPr="004A10A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="006E0410"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6E0410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 w:rsidR="006E0410">
        <w:rPr>
          <w:rFonts w:asciiTheme="minorBidi" w:hAnsiTheme="minorBidi" w:cstheme="minorBidi"/>
          <w:color w:val="000000" w:themeColor="text1"/>
          <w:sz w:val="32"/>
          <w:szCs w:val="32"/>
        </w:rPr>
        <w:t>o</w:t>
      </w:r>
      <w:r w:rsidR="006E0410" w:rsidRPr="00EA6426">
        <w:rPr>
          <w:rFonts w:asciiTheme="minorBidi" w:hAnsiTheme="minorBidi" w:cstheme="minorBidi"/>
          <w:color w:val="000000" w:themeColor="text1"/>
          <w:sz w:val="32"/>
          <w:szCs w:val="32"/>
        </w:rPr>
        <w:t>Y</w:t>
      </w:r>
      <w:r w:rsidR="006E0410" w:rsidRPr="00122FF9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="006E0410" w:rsidRPr="00532017">
        <w:rPr>
          <w:rFonts w:asciiTheme="minorBidi" w:hAnsiTheme="minorBidi" w:cstheme="minorBidi"/>
          <w:spacing w:val="-4"/>
          <w:sz w:val="32"/>
          <w:szCs w:val="32"/>
          <w:cs/>
        </w:rPr>
        <w:t>ปัจจัยที่ส่งผลให้ดัชนีราคาเพิ่มขึ้น</w:t>
      </w:r>
      <w:r w:rsidR="006E0410" w:rsidRPr="00532017">
        <w:rPr>
          <w:rFonts w:asciiTheme="minorBidi" w:hAnsiTheme="minorBidi" w:cstheme="minorBidi" w:hint="cs"/>
          <w:spacing w:val="-4"/>
          <w:sz w:val="32"/>
          <w:szCs w:val="32"/>
          <w:cs/>
        </w:rPr>
        <w:t>นั้น</w:t>
      </w:r>
      <w:r w:rsidR="006E0410" w:rsidRPr="00532017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มาจากค่าตอบแทนในหมวดงานออกแบบก่อสร้างและงานระบบ </w:t>
      </w:r>
      <w:r w:rsidR="006E0410" w:rsidRPr="00532017">
        <w:rPr>
          <w:rFonts w:asciiTheme="minorBidi" w:hAnsiTheme="minorBidi" w:cstheme="minorBidi" w:hint="cs"/>
          <w:spacing w:val="-4"/>
          <w:sz w:val="32"/>
          <w:szCs w:val="32"/>
          <w:cs/>
        </w:rPr>
        <w:t>ที่</w:t>
      </w:r>
      <w:r w:rsidR="006E0410" w:rsidRPr="00532017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เพิ่มขึ้นมากที่สุดใน</w:t>
      </w:r>
      <w:r w:rsidR="006E0410" w:rsidRPr="00532017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หมวดงาน</w:t>
      </w:r>
      <w:r w:rsidR="006E0410" w:rsidRPr="00532017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สถาปัตยกรรมร้อยละ </w:t>
      </w:r>
      <w:r w:rsidR="006E041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3.6</w:t>
      </w:r>
      <w:r w:rsidR="006E0410" w:rsidRPr="00532017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="006E0410" w:rsidRPr="00532017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เมื่อ</w:t>
      </w:r>
      <w:r w:rsidR="006E0410" w:rsidRPr="00532017"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เทียบกับช่วงเวลาเดียวกันของปีก่อน </w:t>
      </w:r>
      <w:r w:rsidR="006E0410" w:rsidRPr="005477DE">
        <w:rPr>
          <w:rFonts w:asciiTheme="minorBidi" w:hAnsiTheme="minorBidi" w:cstheme="minorBidi"/>
          <w:spacing w:val="-4"/>
          <w:sz w:val="32"/>
          <w:szCs w:val="32"/>
          <w:cs/>
        </w:rPr>
        <w:t xml:space="preserve">ในขณะที่หมวดงานวิศวกรรมโครงสร้าง ลดลงร้อยละ </w:t>
      </w:r>
      <w:r w:rsidR="006E0410" w:rsidRPr="005477DE">
        <w:rPr>
          <w:rFonts w:asciiTheme="minorBidi" w:hAnsiTheme="minorBidi" w:cstheme="minorBidi"/>
          <w:spacing w:val="-4"/>
          <w:sz w:val="32"/>
          <w:szCs w:val="32"/>
        </w:rPr>
        <w:t>-2.6</w:t>
      </w:r>
      <w:r w:rsidR="006E0410" w:rsidRPr="005477DE">
        <w:rPr>
          <w:rFonts w:asciiTheme="minorBidi" w:hAnsiTheme="minorBidi" w:cstheme="minorBidi"/>
          <w:spacing w:val="-4"/>
          <w:sz w:val="32"/>
          <w:szCs w:val="32"/>
          <w:cs/>
        </w:rPr>
        <w:t xml:space="preserve"> และ หมวดงานระบบสุขาภิบาล ลดลงร้อยละ -</w:t>
      </w:r>
      <w:r w:rsidR="006E0410" w:rsidRPr="005477DE">
        <w:rPr>
          <w:rFonts w:asciiTheme="minorBidi" w:hAnsiTheme="minorBidi" w:cstheme="minorBidi"/>
          <w:spacing w:val="-4"/>
          <w:sz w:val="32"/>
          <w:szCs w:val="32"/>
        </w:rPr>
        <w:t xml:space="preserve">1.7 </w:t>
      </w:r>
      <w:r w:rsidR="006E0410" w:rsidRPr="005477D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="006E0410" w:rsidRPr="005477DE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="008D7009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 xml:space="preserve">  </w:t>
      </w:r>
    </w:p>
    <w:p w14:paraId="5EBE360E" w14:textId="0B600834" w:rsidR="006E0410" w:rsidRPr="006E0410" w:rsidRDefault="00505F19" w:rsidP="006E0410">
      <w:pPr>
        <w:spacing w:after="0" w:line="240" w:lineRule="auto"/>
        <w:ind w:firstLine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505F19">
        <w:rPr>
          <w:rFonts w:asciiTheme="minorBidi" w:hAnsiTheme="minorBidi" w:cstheme="minorBidi"/>
          <w:b/>
          <w:bCs/>
          <w:color w:val="000000" w:themeColor="text1"/>
          <w:spacing w:val="-4"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B04FE2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เปิดเผยว่า</w:t>
      </w:r>
      <w:r>
        <w:rPr>
          <w:rFonts w:asciiTheme="minorBidi" w:hAnsiTheme="minorBidi" w:cstheme="minorBidi" w:hint="cs"/>
          <w:spacing w:val="-4"/>
          <w:sz w:val="32"/>
          <w:szCs w:val="32"/>
          <w:cs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 xml:space="preserve">หมวดราคาวัสดุก่อสร้างที่ลดลงมี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4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รายการ ได้แก่ เหล็กและผลิตภัณฑ์เหล็ก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สุขภัณฑ์ ผลิตภัณฑ์คอนกรีตและอุปกรณ์ไฟฟ้าและประปา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โดยเฉพาะอย่างยิ่ง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 xml:space="preserve">ราคาเหล็กและผลิตภัณฑ์เหล็กที่ลดลงมากที่สุดถึงประมาณร้อยละ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-9.6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u w:val="single"/>
          <w:cs/>
        </w:rPr>
        <w:t>เมื่อเทียบกับช่วงเวลาเดียวกันของปี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u w:val="single"/>
        </w:rPr>
        <w:t xml:space="preserve"> (YoY)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 xml:space="preserve"> โดยเป็นผลมาจากราคาตลาดโลกที่เริ่มมีการปรับตัวลดลงตามอุปสงค์และอุปทานของเหล็ก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เนื่องจากมีปริมาณเหล็กส่วนเกินจากวิกฤตอสังหาริมทรัพย์ในจีนที่ส่งผลให้อุปสงค์ของเหล็กภายในประเทศจีนลดลง ทำให้มีอุปทานเหล็กส่วนเกินจากจีนบางส่วนมีการระบายสต๊อกมาที่ประเทศไทยมากขึ้น และราคาน้ำมันดีเซลต่ำลง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ซึ่งมีผลต่อต้นทุนการผลิตและราคาวัสดุก่อสร้างหมวดต่าง ๆ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จึงส่งผลให้ราคาเหล็กในประเทศไทยลดลง ขณะที่ดัชนีราคาหมวดกระเบื้อง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 xml:space="preserve">ไม้และผลิตภัณฑ์ไม้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> 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และวัสดุก่อสร้างอื่น ๆ เพิ่มขึ้น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เนื่องจากสินค้าวัสดุก่อสร้างส่วนใหญ่มีต้นทุนเพิ่มขึ้นทั้งจาก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="006E0410" w:rsidRPr="006E0410">
        <w:rPr>
          <w:rFonts w:asciiTheme="minorBidi" w:hAnsiTheme="minorBidi" w:cstheme="minorBidi"/>
          <w:spacing w:val="-4"/>
          <w:sz w:val="32"/>
          <w:szCs w:val="32"/>
          <w:cs/>
        </w:rPr>
        <w:t>ราคาวัตถุดิบและค่าดำเนินการที่สูงกว่าช่วงเวลาเดียวกันของปีก่อน</w:t>
      </w:r>
    </w:p>
    <w:p w14:paraId="233C2987" w14:textId="5B03DA2C" w:rsidR="006E0410" w:rsidRPr="0027008E" w:rsidRDefault="006E0410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6E041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 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           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ส่วนหมวดแรงงานมีการเปลี่ยนแปลงเพิ่มขึ้นร้อย</w:t>
      </w:r>
      <w:r w:rsidRPr="00EF2822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ละ </w:t>
      </w:r>
      <w:r w:rsidRPr="00EF2822">
        <w:rPr>
          <w:rFonts w:asciiTheme="minorBidi" w:hAnsiTheme="minorBidi" w:cstheme="minorBidi"/>
          <w:spacing w:val="-6"/>
          <w:sz w:val="32"/>
          <w:szCs w:val="32"/>
        </w:rPr>
        <w:t xml:space="preserve">1.1 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เมื่อเปรียบเทียบกับช่วงเดียวกันของปีก่อน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ดูแผนภูมิที่ </w:t>
      </w:r>
      <w:r w:rsidRPr="00EF2822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1 - 2)</w:t>
      </w:r>
    </w:p>
    <w:p w14:paraId="5611E0C8" w14:textId="77777777" w:rsidR="006E0410" w:rsidRPr="00EA6426" w:rsidRDefault="006E0410" w:rsidP="006E0410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เมื่อพิจารณาจำแนกต้นทุนของงานก่อสร้างในแต่ละหมวด พบว่า</w:t>
      </w:r>
    </w:p>
    <w:p w14:paraId="06E9301A" w14:textId="77777777" w:rsidR="006E0410" w:rsidRPr="00EA6426" w:rsidRDefault="006E0410" w:rsidP="006E0410">
      <w:pPr>
        <w:spacing w:after="0" w:line="240" w:lineRule="auto"/>
        <w:ind w:firstLine="720"/>
        <w:rPr>
          <w:rFonts w:asciiTheme="minorBidi" w:hAnsiTheme="minorBidi" w:cstheme="minorBidi"/>
          <w:b/>
          <w:bCs/>
          <w:color w:val="000000" w:themeColor="text1"/>
          <w:sz w:val="12"/>
          <w:szCs w:val="12"/>
        </w:rPr>
      </w:pPr>
    </w:p>
    <w:p w14:paraId="3AE707F3" w14:textId="77777777" w:rsidR="006E0410" w:rsidRPr="004A10A1" w:rsidRDefault="006E0410" w:rsidP="006E0410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หมวดงานออกแบบก่อสร้างและงานระบบ</w:t>
      </w:r>
    </w:p>
    <w:p w14:paraId="4C28B916" w14:textId="77777777" w:rsidR="006E0410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1" w:name="_Hlk52899738"/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งานวิศวกรรมโครงสร้าง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1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มีอัตราค่าตอบแทนลดลงร้อยละ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-2.6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bookmarkStart w:id="2" w:name="_Hlk52899897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bookmarkEnd w:id="2"/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-0.9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</w:t>
      </w:r>
      <w:bookmarkStart w:id="3" w:name="_Hlk52899927"/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(QoQ) </w:t>
      </w:r>
      <w:bookmarkEnd w:id="3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27.6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496B287A" w14:textId="77777777" w:rsidR="008D7009" w:rsidRDefault="008D7009" w:rsidP="008D7009">
      <w:pPr>
        <w:tabs>
          <w:tab w:val="left" w:pos="1276"/>
        </w:tabs>
        <w:spacing w:after="0" w:line="240" w:lineRule="auto"/>
        <w:ind w:left="100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86509E5" w14:textId="77777777" w:rsidR="001C551E" w:rsidRDefault="001C551E" w:rsidP="001C551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32F5E449" w14:textId="77777777" w:rsidR="001C551E" w:rsidRDefault="001C551E" w:rsidP="001C551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1FFA254F" w14:textId="77777777" w:rsidR="001C551E" w:rsidRPr="008367D7" w:rsidRDefault="001C551E" w:rsidP="001C551E">
      <w:pPr>
        <w:tabs>
          <w:tab w:val="left" w:pos="1276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51516997" w14:textId="777C7CDF" w:rsidR="006E0410" w:rsidRDefault="006E0410" w:rsidP="008367D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งานสถาปัตยกรรม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มีอัตราค่าตอบแทนเพิ่มขึ้นร้อยละ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4" w:name="_Hlk45022457"/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3.6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End w:id="4"/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และเพิ่มขึ้นร้อยละ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0.6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66.1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33687630" w14:textId="39E3F6BC" w:rsidR="0027008E" w:rsidRPr="001C551E" w:rsidRDefault="006E0410" w:rsidP="009D18EE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1C551E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งานระบบสุขาภิบาล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มีอัตราค่าตอบแทนลดลงร้อยละ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>-1.7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แต่เพิ่มขึ้นร้อยละ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0.1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</w:rPr>
        <w:t>2.7</w:t>
      </w:r>
      <w:r w:rsidRPr="001C551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</w:t>
      </w:r>
    </w:p>
    <w:p w14:paraId="1844458B" w14:textId="334878D6" w:rsidR="00EF2822" w:rsidRPr="00EF2822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งานระบบไฟฟ้าและระบบสื่อสาร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อัตราค่าตอบแทนลดลงร้อยละ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-0.1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(YoY)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-0.1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3.6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ของหมวดงานออกแบบก่อสร้างและงานระบบ (ดูตารางที่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1)</w:t>
      </w:r>
    </w:p>
    <w:p w14:paraId="4AA1467F" w14:textId="77777777" w:rsidR="006E0410" w:rsidRPr="00EA6426" w:rsidRDefault="006E0410" w:rsidP="006E0410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81A4ACF" w14:textId="1A0818A8" w:rsidR="006E0410" w:rsidRPr="00EA6426" w:rsidRDefault="006E0410" w:rsidP="006E0410">
      <w:pPr>
        <w:pStyle w:val="a3"/>
        <w:numPr>
          <w:ilvl w:val="0"/>
          <w:numId w:val="14"/>
        </w:numPr>
        <w:tabs>
          <w:tab w:val="left" w:pos="270"/>
        </w:tabs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หมวดวัสดุก่อสร้าง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คิดเป็นสัดส่วนร้อยละ </w:t>
      </w:r>
      <w:r w:rsidRPr="004B73EE">
        <w:rPr>
          <w:rFonts w:asciiTheme="minorBidi" w:hAnsiTheme="minorBidi" w:cstheme="minorBidi"/>
          <w:b/>
          <w:bCs/>
          <w:sz w:val="32"/>
          <w:szCs w:val="32"/>
        </w:rPr>
        <w:t>60.3</w:t>
      </w:r>
      <w:r w:rsidRPr="004B73E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  <w:r w:rsidR="00505F19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มีการเปลี่ยนแปลงดังนี้</w:t>
      </w:r>
    </w:p>
    <w:p w14:paraId="13B4A46B" w14:textId="77777777" w:rsidR="006E0410" w:rsidRPr="008367D7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ไม้และผลิตภัณฑ์ไม้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4.8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และเพิ่มขึ้นร้อยละ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1.5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27.9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14145FB6" w14:textId="35F31FE6" w:rsidR="006E0410" w:rsidRPr="008367D7" w:rsidRDefault="006E0410" w:rsidP="008367D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bookmarkStart w:id="5" w:name="_Hlk52787317"/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ผลิตภัณฑ์คอนกรีต</w:t>
      </w:r>
      <w:bookmarkEnd w:id="5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-1.1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และลดลงร้อย </w:t>
      </w:r>
      <w:r w:rsid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-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0.4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7.1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6CA87D7D" w14:textId="77777777" w:rsidR="006E0410" w:rsidRPr="008367D7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เหล็กและผลิตภัณฑ์เหล็ก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ราคาลดลงร้อยละ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-9.6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และลดลงร้อยละ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-3.5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8.9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16E32357" w14:textId="77777777" w:rsidR="006E0410" w:rsidRPr="008367D7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กระเบื้อง</w:t>
      </w:r>
      <w:bookmarkStart w:id="6" w:name="_Hlk36644774"/>
      <w:bookmarkStart w:id="7" w:name="_Hlk36639557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16.6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bookmarkStart w:id="8" w:name="_Hlk99545418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(YoY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) และเพิ่มขึ้นร้อยละ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3.6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</w:t>
      </w:r>
      <w:bookmarkEnd w:id="6"/>
      <w:bookmarkEnd w:id="8"/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6 (QoQ)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5.8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 </w:t>
      </w:r>
    </w:p>
    <w:bookmarkEnd w:id="7"/>
    <w:p w14:paraId="22CF8F0F" w14:textId="77777777" w:rsidR="006E0410" w:rsidRPr="008367D7" w:rsidRDefault="006E0410" w:rsidP="006E041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สุขภัณฑ์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9" w:name="_Hlk44573577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ราคาลดลงร้อยละ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-8.9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</w:t>
      </w:r>
      <w:bookmarkStart w:id="10" w:name="_Hlk99546897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bookmarkEnd w:id="10"/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และลดลงร้อยละ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-8.9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2566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(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3.0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  <w:bookmarkEnd w:id="9"/>
    </w:p>
    <w:p w14:paraId="5AB563AE" w14:textId="6F80668F" w:rsidR="006E0410" w:rsidRPr="008367D7" w:rsidRDefault="006E0410" w:rsidP="008367D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003" w:hanging="283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8367D7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อุปกรณ์ไฟฟ้าและประปา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ราคาลดลงร้อยละ -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1.0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เมื่อเทียบกับช่วงเวลาเดียวกันของปีก่อน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(YoY)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และลดลงร้อยละ -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0.1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เมื่อเทียบกับไตรมาส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2566 (QoQ)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โดยมีสัดส่วนร้อยละ 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</w:rPr>
        <w:t>6.1</w:t>
      </w:r>
      <w:r w:rsidRPr="008367D7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ของหมวดวัสดุก่อสร้าง</w:t>
      </w:r>
    </w:p>
    <w:p w14:paraId="17BA003C" w14:textId="124F731E" w:rsidR="00706781" w:rsidRPr="000313E6" w:rsidRDefault="00706781" w:rsidP="00706781">
      <w:pPr>
        <w:pStyle w:val="a3"/>
        <w:numPr>
          <w:ilvl w:val="0"/>
          <w:numId w:val="13"/>
        </w:numPr>
        <w:ind w:left="1080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706781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วัสดุก่อสร้างอื่นๆ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ราคาเพิ่มขึ้นร้อยละ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>2.6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เมื่อเทียบกับช่วงเวลาเดียวกันของปีก่อน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>(YoY)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แต่ลดลงร้อยละ </w:t>
      </w:r>
      <w:r>
        <w:rPr>
          <w:rFonts w:asciiTheme="minorBidi" w:hAnsiTheme="minorBidi" w:cstheme="minorBidi"/>
          <w:color w:val="000000" w:themeColor="text1"/>
          <w:sz w:val="32"/>
          <w:szCs w:val="32"/>
          <w:cs/>
        </w:rPr>
        <w:br/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-0.1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2566 (QoQ)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โดยมีสัดส่วน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ร้อยละ </w:t>
      </w:r>
      <w:r w:rsidRPr="00706781">
        <w:rPr>
          <w:rFonts w:asciiTheme="minorBidi" w:hAnsiTheme="minorBidi" w:cstheme="minorBidi"/>
          <w:color w:val="000000" w:themeColor="text1"/>
          <w:sz w:val="32"/>
          <w:szCs w:val="32"/>
        </w:rPr>
        <w:t>41.2</w:t>
      </w:r>
      <w:r w:rsidR="000620D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0620D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ของหมวดวัสดุก่อสร้าง </w:t>
      </w:r>
      <w:r w:rsidRPr="000620DC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r w:rsidRPr="000620D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ดูตารางที่ </w:t>
      </w:r>
      <w:r w:rsidRPr="000620DC">
        <w:rPr>
          <w:rFonts w:asciiTheme="minorBidi" w:hAnsiTheme="minorBidi" w:cstheme="minorBidi"/>
          <w:color w:val="000000" w:themeColor="text1"/>
          <w:sz w:val="32"/>
          <w:szCs w:val="32"/>
        </w:rPr>
        <w:t>2</w:t>
      </w:r>
      <w:r w:rsidRPr="000313E6">
        <w:rPr>
          <w:rFonts w:asciiTheme="minorBidi" w:hAnsiTheme="minorBidi" w:cstheme="minorBidi"/>
          <w:color w:val="000000" w:themeColor="text1"/>
          <w:sz w:val="32"/>
          <w:szCs w:val="32"/>
        </w:rPr>
        <w:t>)</w:t>
      </w:r>
    </w:p>
    <w:p w14:paraId="28A20B20" w14:textId="77777777" w:rsidR="006E0410" w:rsidRPr="00315794" w:rsidRDefault="006E0410" w:rsidP="006E0410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 w:rsidRPr="005223A6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หมวดแรงงาน</w:t>
      </w:r>
      <w:r w:rsidRPr="005223A6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คิดเป็นสัดส่วนร้อยละ </w:t>
      </w:r>
      <w:r w:rsidRPr="004B73EE">
        <w:rPr>
          <w:rFonts w:asciiTheme="minorBidi" w:hAnsiTheme="minorBidi" w:cstheme="minorBidi"/>
          <w:b/>
          <w:bCs/>
          <w:sz w:val="32"/>
          <w:szCs w:val="32"/>
        </w:rPr>
        <w:t>39.7</w:t>
      </w:r>
      <w:r w:rsidRPr="004B73E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ของค่าก่อสร้างบ้านมาตรฐาน</w:t>
      </w:r>
    </w:p>
    <w:p w14:paraId="6DFCEC69" w14:textId="442D6109" w:rsidR="006E0410" w:rsidRDefault="006E0410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โดย</w:t>
      </w:r>
      <w:r w:rsidRPr="005223A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ค่าแรงงานมีการเปลี่ยนแปลง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เพิ่มขึ้นร้อย</w:t>
      </w:r>
      <w:r w:rsidRPr="00F66C2F">
        <w:rPr>
          <w:rFonts w:asciiTheme="minorBidi" w:hAnsiTheme="minorBidi" w:cstheme="minorBidi" w:hint="cs"/>
          <w:sz w:val="32"/>
          <w:szCs w:val="32"/>
          <w:cs/>
        </w:rPr>
        <w:t xml:space="preserve">ละ </w:t>
      </w:r>
      <w:r>
        <w:rPr>
          <w:rFonts w:asciiTheme="minorBidi" w:hAnsiTheme="minorBidi" w:cstheme="minorBidi"/>
          <w:sz w:val="32"/>
          <w:szCs w:val="32"/>
        </w:rPr>
        <w:t>1.1</w:t>
      </w:r>
      <w:r w:rsidRPr="00F66C2F">
        <w:rPr>
          <w:rFonts w:asciiTheme="minorBidi" w:hAnsiTheme="minorBidi" w:cstheme="minorBidi"/>
          <w:sz w:val="32"/>
          <w:szCs w:val="32"/>
        </w:rPr>
        <w:t xml:space="preserve"> </w:t>
      </w:r>
      <w:r w:rsidRPr="00F66C2F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</w:t>
      </w:r>
      <w:r w:rsidRPr="005223A6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เปรียบเทียบกับช่วงเดียวกันของปีก่อน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</w:p>
    <w:p w14:paraId="778C0912" w14:textId="77777777" w:rsidR="0027008E" w:rsidRDefault="0027008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57A304FA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199B54EE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20B42164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5CFE7E77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705013CE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76B9427B" w14:textId="77777777" w:rsidR="001C551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099FBAF8" w14:textId="77777777" w:rsidR="001C551E" w:rsidRPr="0027008E" w:rsidRDefault="001C551E" w:rsidP="0027008E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</w:pPr>
    </w:p>
    <w:p w14:paraId="12B914B4" w14:textId="77777777" w:rsidR="0027008E" w:rsidRDefault="0027008E" w:rsidP="0027008E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1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ดัชนีราคาค่าก่อสร้างบ้านมาตรฐานในกรุงเทพฯ (ปี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2553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=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100.0</w:t>
      </w:r>
      <w:r w:rsidRPr="00122FF9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)</w:t>
      </w:r>
    </w:p>
    <w:p w14:paraId="615BE939" w14:textId="77777777" w:rsidR="0027008E" w:rsidRPr="00EA6426" w:rsidRDefault="0027008E" w:rsidP="0027008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54301A">
        <w:rPr>
          <w:noProof/>
        </w:rPr>
        <w:drawing>
          <wp:inline distT="0" distB="0" distL="0" distR="0" wp14:anchorId="2FB86B41" wp14:editId="50F7764D">
            <wp:extent cx="5731510" cy="2021205"/>
            <wp:effectExtent l="0" t="0" r="2540" b="0"/>
            <wp:docPr id="2138743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1384" w14:textId="77777777" w:rsidR="0027008E" w:rsidRDefault="0027008E" w:rsidP="0027008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 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7C99FEB" w14:textId="77777777" w:rsidR="0027008E" w:rsidRDefault="0027008E" w:rsidP="0027008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27E37CA7" w14:textId="77777777" w:rsidR="0027008E" w:rsidRDefault="0027008E" w:rsidP="0027008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6D589A9A" w14:textId="77777777" w:rsidR="0027008E" w:rsidRPr="004A10A1" w:rsidRDefault="0027008E" w:rsidP="0027008E">
      <w:pPr>
        <w:spacing w:after="0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แผนภูมิที่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2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อัตราขยายตัวของดัชนีราคาค่าก่อสร้างบ้านมาตรฐาน</w:t>
      </w:r>
    </w:p>
    <w:p w14:paraId="7B3002D9" w14:textId="77777777" w:rsidR="0027008E" w:rsidRPr="00EA6426" w:rsidRDefault="0027008E" w:rsidP="0027008E">
      <w:pPr>
        <w:spacing w:after="0"/>
        <w:jc w:val="center"/>
        <w:rPr>
          <w:rFonts w:asciiTheme="minorBidi" w:hAnsiTheme="minorBidi" w:cstheme="minorBidi"/>
          <w:b/>
          <w:bCs/>
          <w:noProof/>
          <w:color w:val="000000" w:themeColor="text1"/>
          <w:sz w:val="32"/>
          <w:szCs w:val="32"/>
        </w:rPr>
      </w:pPr>
      <w:r w:rsidRPr="0054301A">
        <w:rPr>
          <w:noProof/>
        </w:rPr>
        <w:drawing>
          <wp:inline distT="0" distB="0" distL="0" distR="0" wp14:anchorId="63561B77" wp14:editId="79688B41">
            <wp:extent cx="5731510" cy="2081530"/>
            <wp:effectExtent l="0" t="0" r="2540" b="0"/>
            <wp:docPr id="1991935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373D" w14:textId="77777777" w:rsidR="0027008E" w:rsidRPr="00EA6426" w:rsidRDefault="0027008E" w:rsidP="0027008E">
      <w:pPr>
        <w:spacing w:after="0"/>
        <w:jc w:val="both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22FF9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4D349B19" w14:textId="77777777" w:rsidR="0027008E" w:rsidRDefault="0027008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21CE79D6" w14:textId="77777777" w:rsidR="000D4765" w:rsidRDefault="000D4765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5E80853E" w14:textId="6AACEBB3" w:rsidR="0027008E" w:rsidRDefault="0027008E" w:rsidP="0027008E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1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 แยกตามหมวดงาน</w:t>
      </w:r>
    </w:p>
    <w:p w14:paraId="03847225" w14:textId="77777777" w:rsidR="0027008E" w:rsidRPr="00EA6426" w:rsidRDefault="0027008E" w:rsidP="0027008E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D287F">
        <w:rPr>
          <w:noProof/>
        </w:rPr>
        <w:drawing>
          <wp:inline distT="0" distB="0" distL="0" distR="0" wp14:anchorId="3F099298" wp14:editId="6D49B5B2">
            <wp:extent cx="5772150" cy="1658297"/>
            <wp:effectExtent l="0" t="0" r="0" b="0"/>
            <wp:docPr id="6586704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28" cy="166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A806" w14:textId="75907A74" w:rsidR="0027008E" w:rsidRDefault="0027008E" w:rsidP="0027008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    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04021231" w14:textId="77777777" w:rsidR="0027008E" w:rsidRDefault="0027008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22B24940" w14:textId="77777777" w:rsidR="001C551E" w:rsidRDefault="001C551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1A903108" w14:textId="77777777" w:rsidR="001C551E" w:rsidRDefault="001C551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6044AA87" w14:textId="77777777" w:rsidR="001C551E" w:rsidRDefault="001C551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1E727827" w14:textId="073E91A3" w:rsidR="0027008E" w:rsidRDefault="0027008E" w:rsidP="0027008E">
      <w:pPr>
        <w:tabs>
          <w:tab w:val="left" w:pos="127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EA6426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Pr="004A10A1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องค์ประกอบของดัชนีฯ แยกตามประเภทวัสดุก่อสร้าง</w:t>
      </w:r>
    </w:p>
    <w:p w14:paraId="28782E83" w14:textId="77777777" w:rsidR="0027008E" w:rsidRPr="00EA6426" w:rsidRDefault="0027008E" w:rsidP="0027008E">
      <w:pPr>
        <w:tabs>
          <w:tab w:val="left" w:pos="127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 w:rsidRPr="007F294F">
        <w:rPr>
          <w:noProof/>
        </w:rPr>
        <w:drawing>
          <wp:inline distT="0" distB="0" distL="0" distR="0" wp14:anchorId="15765493" wp14:editId="77974339">
            <wp:extent cx="5876925" cy="2694944"/>
            <wp:effectExtent l="0" t="0" r="0" b="0"/>
            <wp:docPr id="8625670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22" cy="26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D0FDD" w14:textId="17575CB7" w:rsidR="0027008E" w:rsidRPr="00EF2822" w:rsidRDefault="0027008E" w:rsidP="0027008E">
      <w:pPr>
        <w:spacing w:after="0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  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EA6426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4A10A1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DF6C1B8" w14:textId="77777777" w:rsidR="0027008E" w:rsidRPr="008367D7" w:rsidRDefault="0027008E" w:rsidP="008367D7">
      <w:pPr>
        <w:pStyle w:val="a3"/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</w:pPr>
    </w:p>
    <w:p w14:paraId="463CDA56" w14:textId="53D241A6" w:rsidR="006E0410" w:rsidRDefault="006E0410" w:rsidP="008367D7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EA6426">
        <w:rPr>
          <w:rFonts w:asciiTheme="minorBidi" w:hAnsiTheme="minorBidi" w:cstheme="minorBidi"/>
          <w:sz w:val="32"/>
          <w:szCs w:val="32"/>
        </w:rPr>
        <w:t>……………………………………………..</w:t>
      </w:r>
    </w:p>
    <w:p w14:paraId="060A4141" w14:textId="77777777" w:rsidR="0027008E" w:rsidRPr="0027008E" w:rsidRDefault="0027008E" w:rsidP="008367D7">
      <w:pPr>
        <w:spacing w:after="0"/>
        <w:jc w:val="center"/>
        <w:rPr>
          <w:rFonts w:asciiTheme="minorBidi" w:hAnsiTheme="minorBidi" w:cstheme="minorBidi"/>
          <w:sz w:val="28"/>
          <w:cs/>
        </w:rPr>
      </w:pPr>
    </w:p>
    <w:p w14:paraId="2790E531" w14:textId="77777777" w:rsidR="006E0410" w:rsidRPr="001C551E" w:rsidRDefault="006E0410" w:rsidP="006E0410">
      <w:pPr>
        <w:spacing w:after="0"/>
        <w:jc w:val="thaiDistribute"/>
        <w:rPr>
          <w:rFonts w:asciiTheme="minorBidi" w:hAnsiTheme="minorBidi" w:cstheme="minorBidi"/>
          <w:b/>
          <w:bCs/>
          <w:sz w:val="28"/>
          <w:u w:val="single"/>
        </w:rPr>
      </w:pPr>
      <w:r w:rsidRPr="001C551E">
        <w:rPr>
          <w:rFonts w:asciiTheme="minorBidi" w:hAnsiTheme="minorBidi" w:cstheme="minorBidi"/>
          <w:b/>
          <w:bCs/>
          <w:sz w:val="28"/>
          <w:u w:val="single"/>
          <w:cs/>
        </w:rPr>
        <w:t>วิธีการจัดทำข้อมูล</w:t>
      </w:r>
    </w:p>
    <w:p w14:paraId="7CB55B5E" w14:textId="77777777" w:rsidR="006E0410" w:rsidRPr="001C551E" w:rsidRDefault="006E0410" w:rsidP="0027008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ศูนย์ข้อมูลอสังหาริมทรัพย์ ธนาคารอาคารสงเคราะห์ ร่วมกับสมาคมธุรกิจรับสร้างบ้าน จัดทำดัชนีราคาค่าก่อสร้างบ้านมาตรฐาน เป็นประจำทุกไตรมาส โดยใช้ราคาปี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2553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เป็นปีฐาน</w:t>
      </w:r>
    </w:p>
    <w:p w14:paraId="547F2BCB" w14:textId="5E310150" w:rsidR="006E0410" w:rsidRPr="001C551E" w:rsidRDefault="006E0410" w:rsidP="0027008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ในการจัดทำดัชนีนี้ จะใช้แบบบ้าน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“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ครอบครัวไทยเป็นสุข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5”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ของกรมโยธาธิการและผังเมือง เป็นตัวแบบในการคำนวณราคาค่าก่อสร้าง ซึ่งแบบบ้านดังกล่าว เป็นบ้าน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2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ชั้น พื้นที่ใช้สอย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169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ตารางเมตร โดยใช้สมมติฐานระยะเวลาการก่อสร้างบ้านไว้ประมาณ </w:t>
      </w:r>
      <w:r w:rsidRPr="001C551E">
        <w:rPr>
          <w:rFonts w:asciiTheme="minorBidi" w:hAnsiTheme="minorBidi" w:cstheme="minorBidi"/>
          <w:color w:val="000000" w:themeColor="text1"/>
          <w:sz w:val="28"/>
        </w:rPr>
        <w:t xml:space="preserve">180 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วัน ราคาค่าก่อสร้างบ้าน จะ</w:t>
      </w:r>
      <w:r w:rsidRPr="001C551E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นับรวม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ค่าดำเนินการ และภาษีมูลค่าเพิ่มแล้วแต่</w:t>
      </w:r>
      <w:r w:rsidRPr="001C551E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ไม่นับรวม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ราคาที่ดินและค่าใช้จ่ายในการพัฒนาที่ดิน เช่น ค่าใช้จ่ายในการถมดิน และปรับหน้าดิน</w:t>
      </w:r>
    </w:p>
    <w:p w14:paraId="2DBFF452" w14:textId="46533B6E" w:rsidR="006E0410" w:rsidRPr="001C551E" w:rsidRDefault="006E0410" w:rsidP="0027008E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</w:rPr>
      </w:pPr>
      <w:r w:rsidRPr="001C551E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หมวดงานออกแบบก่อสร้างและงานระบบ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ที่นำมาใช้คำนวณดัชนี ได้แก่</w:t>
      </w:r>
      <w:r w:rsidRPr="001C551E">
        <w:rPr>
          <w:rFonts w:asciiTheme="minorBidi" w:hAnsiTheme="minorBidi" w:cstheme="minorBidi" w:hint="cs"/>
          <w:color w:val="000000" w:themeColor="text1"/>
          <w:sz w:val="28"/>
          <w:cs/>
        </w:rPr>
        <w:t xml:space="preserve"> 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งานวิศวกรรมโครงสร้าง งานสถาปัตยกรรม งานระบบสุขาภิบาลงานระบบไฟฟ้าและระบบสื่อสารและงานอื่น</w:t>
      </w:r>
      <w:r w:rsidRPr="001C551E">
        <w:rPr>
          <w:rFonts w:asciiTheme="minorBidi" w:hAnsiTheme="minorBidi" w:cstheme="minorBidi"/>
          <w:color w:val="000000" w:themeColor="text1"/>
          <w:sz w:val="28"/>
        </w:rPr>
        <w:t xml:space="preserve"> 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ๆ </w:t>
      </w:r>
    </w:p>
    <w:p w14:paraId="380CC502" w14:textId="77777777" w:rsidR="006E0410" w:rsidRPr="001C551E" w:rsidRDefault="006E0410" w:rsidP="006E0410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1C551E">
        <w:rPr>
          <w:rFonts w:asciiTheme="minorBidi" w:hAnsiTheme="minorBidi" w:cstheme="minorBidi"/>
          <w:color w:val="000000" w:themeColor="text1"/>
          <w:sz w:val="28"/>
          <w:cs/>
        </w:rPr>
        <w:t>ส่วน</w:t>
      </w:r>
      <w:r w:rsidRPr="001C551E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หมวดวัสดุก่อสร้าง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จะใช้ข้อมูลราคาขายส่งวัสดุก่อสร้างในกรุงเทพฯ ของกระทรวงพาณิชย์ และ</w:t>
      </w:r>
      <w:r w:rsidRPr="001C551E">
        <w:rPr>
          <w:rFonts w:asciiTheme="minorBidi" w:hAnsiTheme="minorBidi" w:cstheme="minorBidi"/>
          <w:color w:val="000000" w:themeColor="text1"/>
          <w:sz w:val="28"/>
          <w:u w:val="single"/>
          <w:cs/>
        </w:rPr>
        <w:t>หมวดแรงงาน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จะใช้ข้อมูลค่าแรงขั้นต่ำของกระทรวงแรงงานในการจัดทำดัชนี</w:t>
      </w:r>
    </w:p>
    <w:p w14:paraId="5CEEA1AF" w14:textId="77777777" w:rsidR="006E0410" w:rsidRPr="001C551E" w:rsidRDefault="006E0410" w:rsidP="006E0410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8"/>
        </w:rPr>
      </w:pPr>
    </w:p>
    <w:p w14:paraId="49BDAD1C" w14:textId="77777777" w:rsidR="006E0410" w:rsidRPr="001C551E" w:rsidRDefault="006E0410" w:rsidP="006E0410">
      <w:pPr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28"/>
          <w:u w:val="single"/>
        </w:rPr>
      </w:pPr>
      <w:r w:rsidRPr="001C551E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</w:rPr>
        <w:t>ข้อควรระวังในการใช้ข้อมูล</w:t>
      </w:r>
    </w:p>
    <w:p w14:paraId="0CA6F2A7" w14:textId="77777777" w:rsidR="006E0410" w:rsidRPr="001C551E" w:rsidRDefault="006E0410" w:rsidP="006E0410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</w:rPr>
      </w:pP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ดัชนีราคาค่าก่อสร้างบ้านมาตรฐาน จัดทำขึ้นเพื่อใช้วัดความเปลี่ยนแปลงของราคาค่าก่อสร้างบ้านที่ประชาชนจ้างผู้รับเหมาเป็นผู้ก่อสร้างคราวละ </w:t>
      </w:r>
      <w:r w:rsidRPr="001C551E">
        <w:rPr>
          <w:rFonts w:asciiTheme="minorBidi" w:hAnsiTheme="minorBidi" w:cstheme="minorBidi"/>
          <w:color w:val="000000" w:themeColor="text1"/>
          <w:sz w:val="28"/>
        </w:rPr>
        <w:t>1</w:t>
      </w:r>
      <w:r w:rsidRPr="001C551E">
        <w:rPr>
          <w:rFonts w:asciiTheme="minorBidi" w:hAnsiTheme="minorBidi" w:cstheme="minorBidi"/>
          <w:color w:val="000000" w:themeColor="text1"/>
          <w:sz w:val="28"/>
          <w:cs/>
        </w:rPr>
        <w:t xml:space="preserve"> หลัง แต่ไม่สามารถใช้วัดความเปลี่ยนแปลงของราคาค่าก่อสร้างบ้านจัดสรรที่สร้างโดยผู้ประกอบการซึ่งจ้างผู้รับเหมาก่อสร้างคราวละหลายๆ หลังได้</w:t>
      </w:r>
    </w:p>
    <w:p w14:paraId="49B7F56C" w14:textId="5A75FDB9" w:rsidR="006E0410" w:rsidRPr="00EA6426" w:rsidRDefault="006E0410" w:rsidP="001C551E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1C551E">
        <w:rPr>
          <w:rFonts w:asciiTheme="minorBidi" w:hAnsiTheme="minorBidi" w:cstheme="minorBidi"/>
          <w:sz w:val="28"/>
        </w:rPr>
        <w:t>……………………………………………..</w:t>
      </w:r>
    </w:p>
    <w:p w14:paraId="314F0DD2" w14:textId="77777777" w:rsidR="006E0410" w:rsidRPr="00EA6426" w:rsidRDefault="006E0410" w:rsidP="006E0410">
      <w:pPr>
        <w:spacing w:after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</w:p>
    <w:sectPr w:rsidR="006E0410" w:rsidRPr="00EA6426" w:rsidSect="00575C21">
      <w:headerReference w:type="default" r:id="rId12"/>
      <w:footerReference w:type="even" r:id="rId13"/>
      <w:footerReference w:type="default" r:id="rId14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84A4" w14:textId="77777777" w:rsidR="00335BAC" w:rsidRDefault="00335BAC">
      <w:pPr>
        <w:spacing w:after="0" w:line="240" w:lineRule="auto"/>
      </w:pPr>
      <w:r>
        <w:separator/>
      </w:r>
    </w:p>
  </w:endnote>
  <w:endnote w:type="continuationSeparator" w:id="0">
    <w:p w14:paraId="7CFA6DA3" w14:textId="77777777" w:rsidR="00335BAC" w:rsidRDefault="0033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6058" w14:textId="77777777" w:rsidR="00335BAC" w:rsidRDefault="00335BAC">
      <w:pPr>
        <w:spacing w:after="0" w:line="240" w:lineRule="auto"/>
      </w:pPr>
      <w:r>
        <w:separator/>
      </w:r>
    </w:p>
  </w:footnote>
  <w:footnote w:type="continuationSeparator" w:id="0">
    <w:p w14:paraId="59767BDF" w14:textId="77777777" w:rsidR="00335BAC" w:rsidRDefault="0033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646">
    <w:abstractNumId w:val="9"/>
  </w:num>
  <w:num w:numId="2" w16cid:durableId="1702125133">
    <w:abstractNumId w:val="3"/>
  </w:num>
  <w:num w:numId="3" w16cid:durableId="869799484">
    <w:abstractNumId w:val="1"/>
  </w:num>
  <w:num w:numId="4" w16cid:durableId="1379010660">
    <w:abstractNumId w:val="7"/>
  </w:num>
  <w:num w:numId="5" w16cid:durableId="2045668353">
    <w:abstractNumId w:val="8"/>
  </w:num>
  <w:num w:numId="6" w16cid:durableId="558977047">
    <w:abstractNumId w:val="5"/>
  </w:num>
  <w:num w:numId="7" w16cid:durableId="653492098">
    <w:abstractNumId w:val="13"/>
  </w:num>
  <w:num w:numId="8" w16cid:durableId="1771580746">
    <w:abstractNumId w:val="10"/>
  </w:num>
  <w:num w:numId="9" w16cid:durableId="1901284298">
    <w:abstractNumId w:val="11"/>
  </w:num>
  <w:num w:numId="10" w16cid:durableId="839004421">
    <w:abstractNumId w:val="12"/>
  </w:num>
  <w:num w:numId="11" w16cid:durableId="2055881262">
    <w:abstractNumId w:val="6"/>
  </w:num>
  <w:num w:numId="12" w16cid:durableId="473524630">
    <w:abstractNumId w:val="4"/>
  </w:num>
  <w:num w:numId="13" w16cid:durableId="987634886">
    <w:abstractNumId w:val="2"/>
  </w:num>
  <w:num w:numId="14" w16cid:durableId="155963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3F2C"/>
    <w:rsid w:val="00044082"/>
    <w:rsid w:val="000446AB"/>
    <w:rsid w:val="0004764D"/>
    <w:rsid w:val="00047ABD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4237"/>
    <w:rsid w:val="000D4765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C48FA"/>
    <w:rsid w:val="001C551E"/>
    <w:rsid w:val="001C65C3"/>
    <w:rsid w:val="001D242B"/>
    <w:rsid w:val="001D24E6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08E"/>
    <w:rsid w:val="00270198"/>
    <w:rsid w:val="00270F49"/>
    <w:rsid w:val="002726DD"/>
    <w:rsid w:val="00276B17"/>
    <w:rsid w:val="00281765"/>
    <w:rsid w:val="002907E3"/>
    <w:rsid w:val="0029428A"/>
    <w:rsid w:val="00296FA4"/>
    <w:rsid w:val="002A2309"/>
    <w:rsid w:val="002B6E0B"/>
    <w:rsid w:val="002C25EC"/>
    <w:rsid w:val="002C48F3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17A9"/>
    <w:rsid w:val="0078337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67D7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D7009"/>
    <w:rsid w:val="008E0634"/>
    <w:rsid w:val="008E3EA7"/>
    <w:rsid w:val="008E5B13"/>
    <w:rsid w:val="008F029B"/>
    <w:rsid w:val="008F1184"/>
    <w:rsid w:val="008F4579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4FE2"/>
    <w:rsid w:val="00B07752"/>
    <w:rsid w:val="00B1558A"/>
    <w:rsid w:val="00B16BD4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12BB"/>
    <w:rsid w:val="00BE363F"/>
    <w:rsid w:val="00BE4CF5"/>
    <w:rsid w:val="00BE761C"/>
    <w:rsid w:val="00BE7E10"/>
    <w:rsid w:val="00BF29DE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5DB6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</cp:revision>
  <cp:lastPrinted>2023-07-17T02:02:00Z</cp:lastPrinted>
  <dcterms:created xsi:type="dcterms:W3CDTF">2023-10-06T08:58:00Z</dcterms:created>
  <dcterms:modified xsi:type="dcterms:W3CDTF">2023-10-10T02:03:00Z</dcterms:modified>
</cp:coreProperties>
</file>