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CD76" w14:textId="2F737881" w:rsidR="00293DA0" w:rsidRPr="002B3211" w:rsidRDefault="00790FAA" w:rsidP="00771AF0">
      <w:pPr>
        <w:pStyle w:val="NoSpacing"/>
        <w:jc w:val="center"/>
        <w:rPr>
          <w:rFonts w:ascii="Cordia New" w:hAnsi="Cordia New" w:cs="Cordia New"/>
          <w:cs/>
        </w:rPr>
      </w:pPr>
      <w:bookmarkStart w:id="0" w:name="_GoBack"/>
      <w:bookmarkEnd w:id="0"/>
      <w:r>
        <w:rPr>
          <w:rFonts w:ascii="Cordia New" w:hAnsi="Cordia New" w:cs="Cordia New"/>
          <w:noProof/>
        </w:rPr>
        <w:drawing>
          <wp:inline distT="0" distB="0" distL="0" distR="0" wp14:anchorId="7BE2AA87" wp14:editId="3979390D">
            <wp:extent cx="5943600" cy="3960495"/>
            <wp:effectExtent l="0" t="0" r="0" b="1905"/>
            <wp:docPr id="1767966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66768" name="Picture 17679667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2B112" w14:textId="77777777" w:rsidR="00771AF0" w:rsidRDefault="00771AF0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066FFA51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3AD086C2" w14:textId="77777777" w:rsidR="00790FAA" w:rsidRDefault="00790FAA" w:rsidP="00790FAA">
      <w:pPr>
        <w:pStyle w:val="ListParagraph"/>
        <w:numPr>
          <w:ilvl w:val="0"/>
          <w:numId w:val="1"/>
        </w:numPr>
        <w:tabs>
          <w:tab w:val="clear" w:pos="720"/>
        </w:tabs>
        <w:ind w:left="426"/>
        <w:jc w:val="thaiDistribute"/>
        <w:rPr>
          <w:rFonts w:ascii="Cordia New" w:hAnsi="Cordia New" w:cs="Cordia New"/>
          <w:sz w:val="28"/>
        </w:rPr>
      </w:pPr>
      <w:r w:rsidRPr="00790FAA">
        <w:rPr>
          <w:rFonts w:ascii="Cordia New" w:hAnsi="Cordia New" w:cs="Cordia New"/>
          <w:sz w:val="28"/>
          <w:cs/>
        </w:rPr>
        <w:t xml:space="preserve">ระบบนิเวศ </w:t>
      </w:r>
      <w:r w:rsidRPr="00790FAA">
        <w:rPr>
          <w:rFonts w:ascii="Cordia New" w:hAnsi="Cordia New" w:cs="Cordia New"/>
          <w:sz w:val="28"/>
        </w:rPr>
        <w:t xml:space="preserve">Blue Carbon Ecosystem </w:t>
      </w:r>
      <w:r w:rsidRPr="00790FAA">
        <w:rPr>
          <w:rFonts w:ascii="Cordia New" w:hAnsi="Cordia New" w:cs="Cordia New"/>
          <w:sz w:val="28"/>
          <w:szCs w:val="28"/>
          <w:cs/>
        </w:rPr>
        <w:t>(</w:t>
      </w:r>
      <w:r w:rsidRPr="00790FAA">
        <w:rPr>
          <w:rFonts w:ascii="Cordia New" w:hAnsi="Cordia New" w:cs="Cordia New"/>
          <w:sz w:val="28"/>
        </w:rPr>
        <w:t>BCE</w:t>
      </w:r>
      <w:r w:rsidRPr="00790FAA">
        <w:rPr>
          <w:rFonts w:ascii="Cordia New" w:hAnsi="Cordia New" w:cs="Cordia New"/>
          <w:sz w:val="28"/>
          <w:szCs w:val="28"/>
          <w:cs/>
        </w:rPr>
        <w:t xml:space="preserve">) </w:t>
      </w:r>
      <w:r w:rsidRPr="00790FAA">
        <w:rPr>
          <w:rFonts w:ascii="Cordia New" w:hAnsi="Cordia New" w:cs="Cordia New"/>
          <w:sz w:val="28"/>
          <w:cs/>
        </w:rPr>
        <w:t>ทั้งป่าชายเลนและหญ้าทะเล เป็นแหล่งกักเก็บคาร์บอนตาม</w:t>
      </w:r>
      <w:r w:rsidRPr="00790FAA">
        <w:rPr>
          <w:rFonts w:ascii="Cordia New" w:hAnsi="Cordia New" w:cs="Cordia New"/>
          <w:sz w:val="28"/>
        </w:rPr>
        <w:br/>
      </w:r>
      <w:r w:rsidRPr="00790FAA">
        <w:rPr>
          <w:rFonts w:ascii="Cordia New" w:hAnsi="Cordia New" w:cs="Cordia New"/>
          <w:sz w:val="28"/>
          <w:cs/>
        </w:rPr>
        <w:t xml:space="preserve">ธรรมชาติที่น่าสนใจ ทั้งในแง่ปริมาณคาร์บอนที่กักเก็บได้ และต้นทุนการลดก๊าซเรือนกระจกอยู่ในระดับที่แข่งขันได้เมื่อเทียบกับระบบนิเวศบนบก ขณะที่ราคาซื้อขายคาร์บอนเครดิต หรือ </w:t>
      </w:r>
      <w:r w:rsidRPr="00790FAA">
        <w:rPr>
          <w:rFonts w:ascii="Cordia New" w:hAnsi="Cordia New" w:cs="Cordia New"/>
          <w:sz w:val="28"/>
        </w:rPr>
        <w:t xml:space="preserve">Blue Carbon Credits </w:t>
      </w:r>
      <w:r w:rsidRPr="00790FAA">
        <w:rPr>
          <w:rFonts w:ascii="Cordia New" w:hAnsi="Cordia New" w:cs="Cordia New"/>
          <w:sz w:val="28"/>
          <w:cs/>
        </w:rPr>
        <w:t xml:space="preserve">ที่ได้จากการดูดกลับก๊าซเรือนกระจกในภาคป่าไม้มีแนวโน้มเพิ่มสูงขึ้นตามความต้องการของตลาดเพื่อบรรลุเป้าหมาย </w:t>
      </w:r>
      <w:r w:rsidRPr="00790FAA">
        <w:rPr>
          <w:rFonts w:ascii="Cordia New" w:hAnsi="Cordia New" w:cs="Cordia New"/>
          <w:sz w:val="28"/>
        </w:rPr>
        <w:t>Net</w:t>
      </w:r>
      <w:r w:rsidRPr="00790FAA">
        <w:rPr>
          <w:rFonts w:ascii="Cordia New" w:hAnsi="Cordia New" w:cs="Cordia New"/>
          <w:sz w:val="28"/>
          <w:szCs w:val="28"/>
          <w:cs/>
        </w:rPr>
        <w:t>-</w:t>
      </w:r>
      <w:r w:rsidRPr="00790FAA">
        <w:rPr>
          <w:rFonts w:ascii="Cordia New" w:hAnsi="Cordia New" w:cs="Cordia New"/>
          <w:sz w:val="28"/>
        </w:rPr>
        <w:t>Zero</w:t>
      </w:r>
      <w:r w:rsidRPr="00790FAA">
        <w:rPr>
          <w:rFonts w:ascii="Cordia New" w:hAnsi="Cordia New" w:cs="Cordia New"/>
          <w:sz w:val="28"/>
          <w:cs/>
        </w:rPr>
        <w:t xml:space="preserve"> </w:t>
      </w:r>
      <w:r w:rsidRPr="00790FAA">
        <w:rPr>
          <w:rFonts w:ascii="Cordia New" w:hAnsi="Cordia New" w:cs="Cordia New"/>
          <w:sz w:val="28"/>
        </w:rPr>
        <w:t>GHG Emissions</w:t>
      </w:r>
    </w:p>
    <w:p w14:paraId="5B85A820" w14:textId="77777777" w:rsidR="00790FAA" w:rsidRPr="00790FAA" w:rsidRDefault="00790FAA" w:rsidP="00790FAA">
      <w:pPr>
        <w:pStyle w:val="ListParagraph"/>
        <w:numPr>
          <w:ilvl w:val="0"/>
          <w:numId w:val="1"/>
        </w:numPr>
        <w:tabs>
          <w:tab w:val="clear" w:pos="720"/>
        </w:tabs>
        <w:ind w:left="426"/>
        <w:jc w:val="thaiDistribute"/>
        <w:rPr>
          <w:rFonts w:ascii="Cordia New" w:hAnsi="Cordia New" w:cs="Cordia New"/>
          <w:sz w:val="28"/>
        </w:rPr>
      </w:pPr>
      <w:r w:rsidRPr="00790FAA">
        <w:rPr>
          <w:rFonts w:ascii="Cordia New" w:hAnsi="Cordia New" w:cs="Cordia New"/>
          <w:sz w:val="28"/>
          <w:cs/>
        </w:rPr>
        <w:t xml:space="preserve">ผู้ประกอบการที่ต้องการคาร์บอนเครดิตจากระบบนิเวศ </w:t>
      </w:r>
      <w:r w:rsidRPr="00790FAA">
        <w:rPr>
          <w:rFonts w:ascii="Cordia New" w:hAnsi="Cordia New" w:cs="Cordia New"/>
          <w:sz w:val="28"/>
        </w:rPr>
        <w:t xml:space="preserve">BCE </w:t>
      </w:r>
      <w:r w:rsidRPr="00790FAA">
        <w:rPr>
          <w:rFonts w:ascii="Cordia New" w:hAnsi="Cordia New" w:cs="Cordia New"/>
          <w:sz w:val="28"/>
          <w:cs/>
        </w:rPr>
        <w:t>เพื่อชดเชยการปล่อยก๊าซเรือนกระจกหรือสร้างรายได้จากคาร์บอนเครดิตอาจเริ่มต้นด้วยการเข้าร่วมโครงการปลูกป่าชายเลนของกรมทรัพยากร</w:t>
      </w:r>
      <w:r w:rsidRPr="00790FAA">
        <w:rPr>
          <w:rFonts w:ascii="Cordia New" w:hAnsi="Cordia New" w:cs="Cordia New"/>
          <w:sz w:val="28"/>
          <w:cs/>
        </w:rPr>
        <w:br/>
        <w:t xml:space="preserve">ทางทะเลและชายฝั่ง หากโครงการดำเนินการได้ตามเป้าหมาย 3 แสนไร่และปริมาณคาร์บอนที่กับเก็บได้ในระยะเวลาอย่างน้อย </w:t>
      </w:r>
      <w:r w:rsidRPr="00790FAA">
        <w:rPr>
          <w:rFonts w:ascii="Cordia New" w:hAnsi="Cordia New" w:cs="Cordia New"/>
          <w:sz w:val="28"/>
        </w:rPr>
        <w:t xml:space="preserve">10 </w:t>
      </w:r>
      <w:r w:rsidRPr="00790FAA">
        <w:rPr>
          <w:rFonts w:ascii="Cordia New" w:hAnsi="Cordia New" w:cs="Cordia New"/>
          <w:sz w:val="28"/>
          <w:cs/>
        </w:rPr>
        <w:t xml:space="preserve">ปีอยู่ที่ระดับค่าเฉลี่ยศักยภาพฯ คาดว่าจะเกิดคาร์บอนเครดิตอย่างต่ำ 28 </w:t>
      </w:r>
      <w:r w:rsidRPr="00790FAA">
        <w:rPr>
          <w:rFonts w:ascii="Cordia New" w:hAnsi="Cordia New" w:cs="Cordia New"/>
          <w:sz w:val="28"/>
        </w:rPr>
        <w:t>MtCO</w:t>
      </w:r>
      <w:r w:rsidRPr="00790FAA">
        <w:rPr>
          <w:rFonts w:ascii="Cordia New" w:hAnsi="Cordia New" w:cs="Cordia New"/>
          <w:sz w:val="28"/>
          <w:vertAlign w:val="subscript"/>
        </w:rPr>
        <w:t>2</w:t>
      </w:r>
    </w:p>
    <w:p w14:paraId="7AA56384" w14:textId="720C883C" w:rsidR="00790FAA" w:rsidRPr="00790FAA" w:rsidRDefault="00790FAA" w:rsidP="00790FAA">
      <w:pPr>
        <w:pStyle w:val="ListParagraph"/>
        <w:numPr>
          <w:ilvl w:val="0"/>
          <w:numId w:val="1"/>
        </w:numPr>
        <w:tabs>
          <w:tab w:val="clear" w:pos="720"/>
        </w:tabs>
        <w:ind w:left="426"/>
        <w:jc w:val="thaiDistribute"/>
        <w:rPr>
          <w:rFonts w:ascii="Cordia New" w:hAnsi="Cordia New" w:cs="Cordia New"/>
          <w:sz w:val="28"/>
          <w:cs/>
        </w:rPr>
      </w:pPr>
      <w:r w:rsidRPr="00790FAA">
        <w:rPr>
          <w:rFonts w:ascii="Cordia New" w:hAnsi="Cordia New" w:cs="Cordia New"/>
          <w:sz w:val="28"/>
          <w:cs/>
        </w:rPr>
        <w:t>การฟื้นฟูระบบนิเวศ</w:t>
      </w:r>
      <w:r w:rsidRPr="00790FAA">
        <w:rPr>
          <w:rFonts w:ascii="Cordia New" w:hAnsi="Cordia New" w:cs="Cordia New"/>
          <w:sz w:val="28"/>
        </w:rPr>
        <w:t xml:space="preserve"> BCE </w:t>
      </w:r>
      <w:r w:rsidRPr="00790FAA">
        <w:rPr>
          <w:rFonts w:ascii="Cordia New" w:hAnsi="Cordia New" w:cs="Cordia New"/>
          <w:sz w:val="28"/>
          <w:cs/>
        </w:rPr>
        <w:t>ยังก่อให้เกิดผลประโยชน์ร่วม (</w:t>
      </w:r>
      <w:r w:rsidRPr="00790FAA">
        <w:rPr>
          <w:rFonts w:ascii="Cordia New" w:hAnsi="Cordia New" w:cs="Cordia New"/>
          <w:sz w:val="28"/>
        </w:rPr>
        <w:t>Co</w:t>
      </w:r>
      <w:r w:rsidRPr="00790FAA">
        <w:rPr>
          <w:rFonts w:ascii="Cordia New" w:hAnsi="Cordia New" w:cs="Cordia New"/>
          <w:sz w:val="28"/>
          <w:szCs w:val="28"/>
          <w:cs/>
        </w:rPr>
        <w:t>-</w:t>
      </w:r>
      <w:r w:rsidRPr="00790FAA">
        <w:rPr>
          <w:rFonts w:ascii="Cordia New" w:hAnsi="Cordia New" w:cs="Cordia New"/>
          <w:sz w:val="28"/>
        </w:rPr>
        <w:t>benefit</w:t>
      </w:r>
      <w:r w:rsidRPr="00790FAA">
        <w:rPr>
          <w:rFonts w:ascii="Cordia New" w:hAnsi="Cordia New" w:cs="Cordia New"/>
          <w:sz w:val="28"/>
          <w:szCs w:val="28"/>
          <w:cs/>
        </w:rPr>
        <w:t>)</w:t>
      </w:r>
      <w:r w:rsidRPr="00790FAA">
        <w:rPr>
          <w:rFonts w:ascii="Cordia New" w:hAnsi="Cordia New" w:cs="Cordia New"/>
          <w:sz w:val="28"/>
          <w:cs/>
        </w:rPr>
        <w:t xml:space="preserve"> หลายประการ อาทิ รายได้จากการท่องเที่ยวเชิงอนุรักษ์และธรรมชาติ การทำประมงที่มีความยั่งยืนมากขึ้น</w:t>
      </w:r>
      <w:r w:rsidRPr="00790FAA">
        <w:rPr>
          <w:rFonts w:ascii="Cordia New" w:hAnsi="Cordia New" w:cs="Cordia New"/>
          <w:sz w:val="28"/>
          <w:szCs w:val="28"/>
          <w:cs/>
        </w:rPr>
        <w:t xml:space="preserve"> </w:t>
      </w:r>
      <w:r w:rsidRPr="00790FAA">
        <w:rPr>
          <w:rFonts w:ascii="Cordia New" w:hAnsi="Cordia New" w:cs="Cordia New"/>
          <w:sz w:val="28"/>
          <w:cs/>
        </w:rPr>
        <w:t>ซึ่งอาจสร้างมูลค่าทางเศรษฐกิจเฉลี่ยมากกว่า 4 แสนล้านบาทต่อปี</w:t>
      </w:r>
    </w:p>
    <w:p w14:paraId="0213842D" w14:textId="77777777" w:rsidR="00BA025C" w:rsidRPr="00771AF0" w:rsidRDefault="00BA025C" w:rsidP="00BA025C">
      <w:pPr>
        <w:pStyle w:val="ListParagraph"/>
        <w:ind w:left="426"/>
        <w:rPr>
          <w:rFonts w:ascii="Cordia New" w:hAnsi="Cordia New" w:cs="Cordia New"/>
          <w:sz w:val="28"/>
        </w:rPr>
      </w:pPr>
    </w:p>
    <w:p w14:paraId="5626FCBD" w14:textId="77777777" w:rsidR="00790FAA" w:rsidRDefault="00790FAA" w:rsidP="00771AF0">
      <w:pPr>
        <w:spacing w:line="360" w:lineRule="exact"/>
        <w:jc w:val="right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30"/>
          <w:szCs w:val="30"/>
        </w:rPr>
      </w:pPr>
      <w:r w:rsidRPr="00790FAA">
        <w:rPr>
          <w:rFonts w:ascii="Cordia New" w:eastAsia="Times New Roman" w:hAnsi="Cordia New" w:cs="Cordia New"/>
          <w:b/>
          <w:bCs/>
          <w:sz w:val="30"/>
          <w:szCs w:val="30"/>
          <w:cs/>
        </w:rPr>
        <w:t>ชัยสิทธิ์ อนุชิตวรวงศ์</w:t>
      </w:r>
    </w:p>
    <w:p w14:paraId="2EAFE22B" w14:textId="75E10FC5" w:rsidR="00771AF0" w:rsidRDefault="00771AF0" w:rsidP="00771AF0">
      <w:pPr>
        <w:spacing w:line="360" w:lineRule="exact"/>
        <w:jc w:val="right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sectPr w:rsidR="00771AF0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771AF0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30"/>
          <w:szCs w:val="30"/>
        </w:rPr>
        <w:t>Krungthai COMPASS</w:t>
      </w:r>
    </w:p>
    <w:p w14:paraId="108291E1" w14:textId="4F68DEC6" w:rsidR="00790FAA" w:rsidRDefault="00790FAA" w:rsidP="00790FAA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lastRenderedPageBreak/>
        <w:t>ในปัจจุบัน ภาคส่วนต่างๆ ทั้งในระดับองค์กรและระดับประเทศมีความพยายามที่จะบรรลุเป้าหมายความเป็นกลางทางคาร์บอน (</w:t>
      </w:r>
      <w:r w:rsidRPr="00790FAA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Carbon Neutrality</w:t>
      </w:r>
      <w:r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และการปล่อยก๊าซเรือนกระจกสุทธิเป็นศูนย์ (</w:t>
      </w:r>
      <w:r w:rsidRPr="00790FAA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Net</w:t>
      </w:r>
      <w:r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-</w:t>
      </w:r>
      <w:r w:rsidRPr="00790FAA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Zero GHG Emissions</w:t>
      </w:r>
      <w:r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ในระยะข้างหน้า สอดคล้องกับวาระของโลกที่มุ่งลดผลกระทบของการเปลี่ยนแปลงสภาพภูมิอากาศ แม้จะมีความพยายามที่จะลดปริมาณการปล่อยก๊าซเรือนกระจกด้วยตัวเอง แต่ก็ทำได้ไม่ทั้งหมดเพราะต้นทุนส่วนเพิ่มในการลดก๊าซเรือนกระจกสูงมาก จึงทำให้ยังมีความต้องการปริมาณคาร์บอนเครดิตจำนวนมาก เพื่อใช้ในการชดเชยการปล่อยก๊าซเรือนกระจกที่เกิดขึ้น 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บทความฉบับนี้จะชวนทุกท่านมาทำความรู้จักกับทางเลือกใหม่ในการกักเก็บคาร์บอนที่มีประสิทธิภาพสูงผ่านระบบนิเวศชายฝั่งหรือ 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Blue Carbon Ecosystem 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(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BCE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) และโอกาสในการสร้างรายได้จากการขายคาร์บอนเครดิตที่เกิดจากโครงการฟื้นฟูหรืออนุรักษ์ระบบนิเวศ 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Blue Carbon 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รวมไปถึงการใช้ในกิจกรรมชดเชยการปล่อยก๊าซเรือนกระจกหรือที่เรียกว่ากิจกรรมชดเชยคาร์บอน (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Carbon Offset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) เพื่อบรรลุเป้าหมายด้านการลดการปล่อยก๊าซเรือนกระจก</w:t>
      </w:r>
    </w:p>
    <w:p w14:paraId="3C6AAE15" w14:textId="24C42B86" w:rsidR="00790FAA" w:rsidRPr="00790FAA" w:rsidRDefault="00790FAA" w:rsidP="00790FAA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</w:pP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Blue Carbon</w:t>
      </w: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Ecosystem</w:t>
      </w:r>
      <w:r>
        <w:rPr>
          <w:rFonts w:ascii="Cordia New" w:eastAsiaTheme="minorEastAsia" w:hAnsi="Cordia New" w:cs="Cordia New" w:hint="cs"/>
          <w:b/>
          <w:bCs/>
          <w:color w:val="000000" w:themeColor="text1"/>
          <w:kern w:val="24"/>
          <w:sz w:val="28"/>
          <w:cs/>
        </w:rPr>
        <w:t xml:space="preserve"> 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เป็นแหล่งกักเก็บคาร์บอน</w:t>
      </w:r>
      <w:r>
        <w:rPr>
          <w:rFonts w:ascii="Cordia New" w:eastAsiaTheme="minorEastAsia" w:hAnsi="Cordia New" w:cs="Cordia New" w:hint="cs"/>
          <w:b/>
          <w:bCs/>
          <w:color w:val="000000" w:themeColor="text1"/>
          <w:kern w:val="24"/>
          <w:sz w:val="28"/>
          <w:cs/>
        </w:rPr>
        <w:t xml:space="preserve"> </w:t>
      </w:r>
      <w:r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ที่มีประสิทธิภาพสูง</w:t>
      </w:r>
    </w:p>
    <w:p w14:paraId="6125983C" w14:textId="31E8426A" w:rsidR="00790FAA" w:rsidRPr="00790FAA" w:rsidRDefault="007A6D61" w:rsidP="00790FAA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8240" behindDoc="0" locked="0" layoutInCell="1" allowOverlap="1" wp14:anchorId="5EE8338C" wp14:editId="2EFF2597">
            <wp:simplePos x="0" y="0"/>
            <wp:positionH relativeFrom="column">
              <wp:posOffset>387003</wp:posOffset>
            </wp:positionH>
            <wp:positionV relativeFrom="paragraph">
              <wp:posOffset>1922607</wp:posOffset>
            </wp:positionV>
            <wp:extent cx="5181600" cy="3768090"/>
            <wp:effectExtent l="0" t="0" r="0" b="3810"/>
            <wp:wrapTopAndBottom/>
            <wp:docPr id="1568666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66875" name="Picture 15686668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Blue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Carbon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Ecosystem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เป็นระบบนิเวศตามป่าชายเลน ที่ลุ่มน้ำเค็ม ที่ราบน้ำท่วมถึง และหญ้าทะเล ที่มีประสิทธิภาพสูงในการทำหน้าที่ดูดซับและกักเก็บคาร์บอนในรูปของมวลชีวภาพและการทับถมของตะกอนลงสู่ชั้นดินลึกหลายเมตร 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ที่คาร์บอนจะถูกกักเก็บได้นานนับพันปีในชั้นตะกอนหากสภาพแวดล้อมของระบบนิเวศไม่ได้ถูกทำลายจากภัยธรรมชาติหรือกิจกรรมของคน (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WEF,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2021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ต่างจากระบบนิเวศบนบก (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Terrestrial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Ecosystem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เช่น ป่าฝน ที่แม้ว่าจะกักเก็บคาร์บอนในชีวมวลได้เช่นกัน แต่จะปล่อยคาร์บอนกลับออกมาเมื่อต้นไม้ตาย 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ที่ผ่านมา การวิจัยต่างๆ ชี้ว่าระบบนิเวศ 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Blue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Carbon</w:t>
      </w:r>
      <w:r w:rsidR="00790FAA" w:rsidRPr="00790FAA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มีศักยภาพในการกักเก็บคาร์บอนได้สูงกว่าป่าไม้ราว 5-10 เท่า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="00790FAA">
        <w:rPr>
          <w:rStyle w:val="FootnoteReference"/>
          <w:rFonts w:ascii="Cordia New" w:eastAsiaTheme="minorEastAsia" w:hAnsi="Cordia New" w:cs="Cordia New"/>
          <w:color w:val="000000" w:themeColor="text1"/>
          <w:kern w:val="24"/>
          <w:sz w:val="28"/>
          <w:cs/>
        </w:rPr>
        <w:footnoteReference w:id="1"/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เนื่องจากสามารถดึงคาร์บอนประมาณ 50-90% ไปกักเก็บไว้ในใต้ดินที่มีน้ำทะเลท่วมขังซึ่งช่วยชะลอการเน่าเปื่อยของอินทรีย์</w:t>
      </w:r>
      <w:r w:rsidR="00790FAA" w:rsidRPr="00790FAA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br/>
        <w:t>วัตถุและช่วยเพิ่มปริมาณการสะสมคาร์บอนในดิน</w:t>
      </w:r>
    </w:p>
    <w:p w14:paraId="60D73929" w14:textId="3BCD49E9" w:rsidR="007A6D61" w:rsidRPr="007A6D61" w:rsidRDefault="007A6D61" w:rsidP="007A6D61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การฟื้นฟูระบบนิเวศ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 Blue Carbon</w:t>
      </w:r>
      <w:r w:rsidRPr="007A6D61">
        <w:rPr>
          <w:rFonts w:ascii="Cordia New" w:eastAsiaTheme="minorEastAsia" w:hAnsi="Cordia New" w:cs="Cordia New" w:hint="cs"/>
          <w:b/>
          <w:bCs/>
          <w:color w:val="000000" w:themeColor="text1"/>
          <w:kern w:val="24"/>
          <w:sz w:val="28"/>
          <w:cs/>
        </w:rPr>
        <w:t xml:space="preserve"> 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หลายประเภทมีศักยภาพการลด 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vertAlign w:val="subscript"/>
        </w:rPr>
        <w:t>2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ต่อหน่วยพื้นที่ สูงกว่าภาคป่าไม้</w:t>
      </w:r>
    </w:p>
    <w:p w14:paraId="7D0D4A3F" w14:textId="4C3D84EC" w:rsidR="007A6D61" w:rsidRPr="007A6D61" w:rsidRDefault="007A6D61" w:rsidP="007A6D6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ศักยภาพการลดปริมาณก๊าซคาร์บอนไดออกไซด์ต่อหน่วยพื้นที่ (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Mitigation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Potential</w:t>
      </w:r>
      <w:r w:rsidRPr="007A6D6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) มีความแตกต่างกันตามประเภทกิจกรรมในแต่ละระบบนิเวศ 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โดยที่กิจกรรมการฟื้นฟูป่าชายเลน (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Mangrove restoration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โดยเฉลี่ยมีศักยภาพสูงกว่ากิจกรรมการฟื้นฟูสภาพป่า (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Reforestation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ในระบบนิเวศป่าไม้ และกิจกรรมการฟื้นฟูหญ้าทะเล (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Seagrass restoration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ในการลดปริมาณ 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bscript"/>
        </w:rPr>
        <w:t>2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ต่อหน่วยพื้นที่  โดยรวมแล้ว 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Blue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Carbon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เฉพาะที่เกิดจากกิจกรรมการฟื้นฟูป่าชายเลนเป็นอีกหนึ่งทางเลือกสำคัญที่จะช่วยสนับสนุนให้ภาคส่วนต่างๆ สามารถก้าวไปสู่การบรรลุเป้าหมายการลดก๊าซเรือนกระจกสุทธิเป็นศูนย์ได้</w:t>
      </w:r>
    </w:p>
    <w:p w14:paraId="01E63EDD" w14:textId="2ED6EED4" w:rsidR="007A6D61" w:rsidRDefault="007A6D61" w:rsidP="007A6D6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9264" behindDoc="0" locked="0" layoutInCell="1" allowOverlap="1" wp14:anchorId="151E441C" wp14:editId="6754E68A">
            <wp:simplePos x="0" y="0"/>
            <wp:positionH relativeFrom="column">
              <wp:posOffset>0</wp:posOffset>
            </wp:positionH>
            <wp:positionV relativeFrom="paragraph">
              <wp:posOffset>925946</wp:posOffset>
            </wp:positionV>
            <wp:extent cx="5943600" cy="4392930"/>
            <wp:effectExtent l="0" t="0" r="0" b="7620"/>
            <wp:wrapTopAndBottom/>
            <wp:docPr id="2850838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83842" name="Picture 28508384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อนึ่ง จากงานวิจัยล่าสุดของ 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McKinsey &amp; Company 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(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2022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ประเมินว่ากิจกรรมการฟื้นฟูและการอนุรักษ์ทรัพยากรป่าชายเลน หญ้าทะเล และที่ลุ่มน้ำเค็มโดยรวมทั้งโลกจะมีศักยภาพในการกักเก็บคาร์บอนราว 0.4-1.2 กิกะตันของคาร์บอนไดออกไซด์ (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GtCO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bscript"/>
        </w:rPr>
        <w:t>2</w:t>
      </w:r>
      <w:r w:rsidRPr="007A6D61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ต่อปี ภายใน ปี 2050</w:t>
      </w:r>
    </w:p>
    <w:p w14:paraId="4AE9EDFA" w14:textId="706A088D" w:rsidR="007A6D61" w:rsidRPr="007A6D61" w:rsidRDefault="007A6D61" w:rsidP="007A6D6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0694FA2F" w14:textId="77777777" w:rsidR="007A6D61" w:rsidRDefault="007A6D61" w:rsidP="007A6D6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7A6D61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7A25FAC9" w14:textId="1FD5AA11" w:rsidR="00915B9D" w:rsidRPr="00915B9D" w:rsidRDefault="00915B9D" w:rsidP="00915B9D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 w:rsidRPr="00915B9D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ต้นทุนการลดก๊าซเรือนกระจกของ </w:t>
      </w:r>
      <w:r w:rsidRPr="00915B9D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Blue Carbon</w:t>
      </w:r>
      <w:r w:rsidRPr="00915B9D">
        <w:rPr>
          <w:rFonts w:ascii="Cordia New" w:eastAsiaTheme="minorEastAsia" w:hAnsi="Cordia New" w:cs="Cordia New" w:hint="cs"/>
          <w:b/>
          <w:bCs/>
          <w:color w:val="000000" w:themeColor="text1"/>
          <w:kern w:val="24"/>
          <w:sz w:val="28"/>
          <w:cs/>
        </w:rPr>
        <w:t xml:space="preserve"> </w:t>
      </w:r>
      <w:r w:rsidRPr="00915B9D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อยู่ในระดับที่น่าสนใจเทียบกับราคาซื้อขายในตลาดคาร์บอน</w:t>
      </w:r>
    </w:p>
    <w:p w14:paraId="0CCB35E7" w14:textId="1882D543" w:rsidR="00915B9D" w:rsidRDefault="00915B9D" w:rsidP="00915B9D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จากการศึกษาต้นทุนการลดการปล่อยก๊าซเรือนกระจกของ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McKinsey &amp; Company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(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2022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พบว่าต้นทุนสุทธิที่ต้องจ่ายเพิ่มในการลดก๊าซเรือนกระจกต่อตันคาร์บอนไดออกไซด์ (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tCO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bscript"/>
        </w:rPr>
        <w:t>2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ของ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Blue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Carbon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ในหลายประเภทกิจกรรม/โครงการ เช่น การฟื้นฟูป่าชายเลน การอนุรักษ์ป่าชายเลน การอนุรักษ์หญ้าทะเล ในปัจจุบันอยู่ในระดับที่ต่ำกว่า 18 ดอลลาร์สหรัฐฯ ต่อ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tCO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bscript"/>
        </w:rPr>
        <w:t>2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ซึ่งแข่งขันได้เมื่อเทียบกับกิจกรรมการกักเก็บคาร์บอนในระบบนิเวศบนบก และน่าสนใจเมื่อเทียบกับราคาซื้อขายในตลาดคาร์บอนเครดิตหากผู้ที่พัฒนาโครงการขายคาร์บอนเครดิตที่เกิดขึ้นจากการดำเนินโครงการ ทั้งนี้จากข้อมูลของ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Abatable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พบว่าราคาคาร์บอนเครดิตจาก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Blue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Carbon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โดยเฉลี่ยอยู่ที่ประมาณ 30 ดอลลาร์สหรัฐฯ ต่อ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tCO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bscript"/>
        </w:rPr>
        <w:t>2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โดยที่บางประเภทโครงการมีราคาซื้อขายคาร์บอนเครดิตสูงถึง 50 ดอลลาร์สหรัฐฯ ต่อ 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tCO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bscript"/>
        </w:rPr>
        <w:t>2</w:t>
      </w:r>
      <w:r w:rsidRPr="00915B9D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</w:p>
    <w:p w14:paraId="50F14CF5" w14:textId="6E3C22EF" w:rsidR="00915B9D" w:rsidRPr="00915B9D" w:rsidRDefault="00915B9D" w:rsidP="00915B9D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60288" behindDoc="0" locked="0" layoutInCell="1" allowOverlap="1" wp14:anchorId="3746BF20" wp14:editId="3DCA6124">
            <wp:simplePos x="0" y="0"/>
            <wp:positionH relativeFrom="column">
              <wp:posOffset>-41563</wp:posOffset>
            </wp:positionH>
            <wp:positionV relativeFrom="paragraph">
              <wp:posOffset>378691</wp:posOffset>
            </wp:positionV>
            <wp:extent cx="5943600" cy="3801110"/>
            <wp:effectExtent l="0" t="0" r="0" b="8890"/>
            <wp:wrapTopAndBottom/>
            <wp:docPr id="801784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8463" name="Picture 8017846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40E86" w14:textId="262079AC" w:rsidR="00915B9D" w:rsidRPr="00915B9D" w:rsidRDefault="00915B9D" w:rsidP="00915B9D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</w:p>
    <w:p w14:paraId="6EF0706A" w14:textId="77777777" w:rsidR="00E5597E" w:rsidRDefault="00E5597E" w:rsidP="007A6D6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E5597E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72BBD90A" w14:textId="5AD38EBF" w:rsidR="00E5597E" w:rsidRDefault="00E5597E" w:rsidP="00E5597E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vertAlign w:val="subscript"/>
        </w:rPr>
      </w:pP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ชายฝั่งทะเลไทย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ก็มีระบบนิเวศป่าชายเลนและหญ้าทะเลเป็นอีกโอกาสสำคัญ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ในการกักเก็บและดูดซับ 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vertAlign w:val="subscript"/>
        </w:rPr>
        <w:t>2</w:t>
      </w:r>
    </w:p>
    <w:p w14:paraId="66521D32" w14:textId="74DF55E0" w:rsidR="00E5597E" w:rsidRPr="00E5597E" w:rsidRDefault="00E5597E" w:rsidP="00E5597E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61312" behindDoc="0" locked="0" layoutInCell="1" allowOverlap="1" wp14:anchorId="0FD63316" wp14:editId="691F0D29">
            <wp:simplePos x="0" y="0"/>
            <wp:positionH relativeFrom="column">
              <wp:posOffset>-27214</wp:posOffset>
            </wp:positionH>
            <wp:positionV relativeFrom="paragraph">
              <wp:posOffset>1770743</wp:posOffset>
            </wp:positionV>
            <wp:extent cx="5943600" cy="4525010"/>
            <wp:effectExtent l="0" t="0" r="0" b="8890"/>
            <wp:wrapTopAndBottom/>
            <wp:docPr id="12694380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38068" name="Picture 126943806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ระบบนิเวศ 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Blue Carbon 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กระจายตัวอยู่ตามชายฝั่งทะเลทั่วโลก ครอบคลุมพื้นที่ราว 185 ล้านเฮกตาร์ และมีศักยภาพในการกักเก็บคาร์บอนสูงกว่า 30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,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000 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TgC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(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Nature,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2021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)</w:t>
      </w:r>
      <w:r w:rsidRPr="00E5597E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vertAlign w:val="superscript"/>
          <w:cs/>
        </w:rPr>
        <w:t xml:space="preserve"> </w:t>
      </w:r>
      <w:r>
        <w:rPr>
          <w:rStyle w:val="FootnoteReference"/>
          <w:rFonts w:ascii="Cordia New" w:eastAsiaTheme="minorEastAsia" w:hAnsi="Cordia New" w:cs="Cordia New"/>
          <w:color w:val="000000" w:themeColor="text1"/>
          <w:kern w:val="24"/>
          <w:sz w:val="28"/>
          <w:cs/>
        </w:rPr>
        <w:footnoteReference w:id="2"/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สำหรับประเทศไทยนั้น มีระบบนิเวศ 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Blue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Carbon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ทั้งป่าชายเลนและหญ้าทะเลซึ่งอยู่ตามชายฝั่งทะเลในจังหวัดหรือหมู่เกาะต่างๆ ทั้งนี้ กรมทรัพยากรทางทะเลและชายฝั่งประเมินว่าไทยมีพื้นที่ป่าชายเลนคงสภาพเป็นป่าอยู่ 1.74 ล้านไร่ โดยบางส่วนจำเป็นต้องได้รับการฟื้นฟูจากการบุกรุกและใช้ประโยชน์ในรูปแบบต่างๆ ที่กระทบระบบนิเวศป่าชายเลน ขณะที่พื้นที่ที่มีศักยภาพเป็นแหล่งหญ้าทะเลมีอยู่ราว 160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,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628 ไร่ แต่จากข้อมูลล่าสุดปี 2564 มีพื้นที่เพียง 99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,</w:t>
      </w:r>
      <w:r w:rsidRPr="00E5597E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325 ไร่ ซึ่งแสดงว่าไทยยังมีพื้นที่อีก 38% ที่สามารถฟื้นฟูหญ้าทะเลให้เป็นระบบนิเวศที่ช่วยกักเก็บคาร์บอนได้</w:t>
      </w:r>
    </w:p>
    <w:p w14:paraId="0ECB1453" w14:textId="7829C108" w:rsidR="00E5597E" w:rsidRPr="00E5597E" w:rsidRDefault="00E5597E" w:rsidP="00E5597E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</w:p>
    <w:p w14:paraId="36EE69E3" w14:textId="77777777" w:rsidR="00E5597E" w:rsidRDefault="00E5597E" w:rsidP="007A6D6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E5597E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4185B41E" w14:textId="5C5721B6" w:rsid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ภาครัฐตั้งเป้าฟื้นฟูป่าชายเลน 3 แสนไร่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เพื่อเป็นแหล่งกักเก็บก๊าซเรือนกระจก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ผ่านความร่วมมือจากภาคเอกชน</w:t>
      </w:r>
    </w:p>
    <w:p w14:paraId="1C29B63E" w14:textId="47876430" w:rsidR="00D607E2" w:rsidRPr="00D607E2" w:rsidRDefault="00D607E2" w:rsidP="00D607E2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กรมทรัพยากรทางทะเลและชายฝั่ง (ทช.) ได้จัดทำ “โครงการปลูกป่าชายเลนเพื่อประโยชน์จากคาร์บอนเครดิต” ในพื้นที่ 23 จังหวัด จำนวน 3 แสนไร่ในช่วง 2565-2574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 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โดยมีผู้ที่เกี่ยวข้องหลัก 3 ฝ่าย ได้แก่ (ก) ทช. เป็นเจ้าของโครงการและผู้พัฒนาโครงการ (ข) อบก. เป็นผู้ขึ้นทะเบียนโครงการลดก๊าซเรือนกระจกภาคสมัครใจตามมาตรฐานของประเทศไทย (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T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-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VER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หรือ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T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-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VER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มาตรฐานขั้นสูง (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Premium T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-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VER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และรับรองคาร์บอนเครดิตให้กับผู้พัฒนาโครงการ (ค) องค์กรเอกชน ชุมชนท้องถิ่นหรือชายฝั่ง เป็นผู้พัฒนาโครงการ โดยสามารถเลือกกรอบระยะเวลาดำเนินการครั้งละ 10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,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20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,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และ 30 ปี (ขอต่ออายุได้ครั้งละ 10 ปี ไม่จำกัดจำนวนครั้ง) อนึ่งในแต่ละปี ทช. จะประกาศเชิญเข้าร่วมโครงการปลูกป่าชายเลน กำหนดพื้นที่เป้าหมาย และพิจารณา</w:t>
      </w:r>
      <w:r w:rsidRPr="00D607E2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จัดสรรพื้นที่ดำเนินโครงการปลูกป่าชายเลนให้กับผู้ที่ผ่านการพิจารณาคุณสมบัติ โดยในปีที่ผ่านมา ได้มีการจัดสรรพื้นที่ 4.1 หมื่นไร่ ให้กับองค์กรเอกชนจำนวน 14 ราย ในการดำเนินโครงการฯ </w:t>
      </w:r>
    </w:p>
    <w:p w14:paraId="07411D47" w14:textId="7807DC7A" w:rsid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62336" behindDoc="0" locked="0" layoutInCell="1" allowOverlap="1" wp14:anchorId="34EEB870" wp14:editId="3D41F6D8">
            <wp:simplePos x="0" y="0"/>
            <wp:positionH relativeFrom="column">
              <wp:posOffset>-38100</wp:posOffset>
            </wp:positionH>
            <wp:positionV relativeFrom="paragraph">
              <wp:posOffset>1103086</wp:posOffset>
            </wp:positionV>
            <wp:extent cx="5943600" cy="4224020"/>
            <wp:effectExtent l="0" t="0" r="0" b="5080"/>
            <wp:wrapTopAndBottom/>
            <wp:docPr id="2285065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06500" name="Picture 22850650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สำหรับองค์กรเอกชนที่เข้าร่วมเป็นผู้พัฒนาโครงการปลูกป่าชายเลน จะได้ประโยชน์จากคาร์บอนเครดิตที่เกิดขึ้นในระยะข้างหน้า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หากการดำเนินโครงการเป็นไปตามระเบียบของ ทช. ที่เกี่ยวกับการปลูกและบำรุงป่าชายเลนและการแบ่งปันคาร์บอนเครดิต 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อนึ่ง การแบ่งปันคาร์บอนเครดิตระหว่าง ทช. กับบุคคลภายนอก กำหนดสัดส่วนเท่ากับ 10 : 90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หรือตามที่ตกลง โดยที่ ทช. จะได้รับสัดส่วนไม่น้อยกว่าร้อยละ 10 จากโครงการปลูกป่าชายเลน เพื่อประโยชน์จากคาร์บอนเครดิต</w:t>
      </w:r>
    </w:p>
    <w:p w14:paraId="71F9B528" w14:textId="1EFD5739" w:rsidR="00D607E2" w:rsidRP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60A22C0E" w14:textId="77777777" w:rsidR="00D607E2" w:rsidRDefault="00D607E2" w:rsidP="00790FAA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D607E2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30941A43" w14:textId="4598AE7C" w:rsid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 xml:space="preserve">Blue Carbon Credit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สร้างโอกาสในเชิงเศรษฐกิจและธุรกิจ 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รวมถึง 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-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benefits 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ต่อหลายภาคส่วน </w:t>
      </w:r>
    </w:p>
    <w:p w14:paraId="26BDFCB8" w14:textId="39EB0D8E" w:rsidR="00D607E2" w:rsidRP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ป่าชายเลนมีศักยภาพในการดูดซับคาร์บอนไดออกไซด์สุทธิ 9.4 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tCO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vertAlign w:val="subscript"/>
        </w:rPr>
        <w:t>2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ต่อไร่ต่อปี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อ้างอิงจากผลการศึกษาศักยภาพการกักเก็บคาร์บอนในป่าชายเลนในพื้นที่ 9 จังหวัดของไทยทั้งในโซนอ่าวไทยและโซนอันดามันของคณะทำงานร่วมระหว่างมหาวิทยาลัยและหน่วยงานรัฐ </w:t>
      </w:r>
      <w:r>
        <w:rPr>
          <w:rStyle w:val="FootnoteReference"/>
          <w:rFonts w:ascii="Cordia New" w:eastAsiaTheme="minorEastAsia" w:hAnsi="Cordia New" w:cs="Cordia New"/>
          <w:color w:val="000000" w:themeColor="text1"/>
          <w:kern w:val="24"/>
          <w:sz w:val="28"/>
          <w:cs/>
        </w:rPr>
        <w:footnoteReference w:id="3"/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ในเบื้องต้นสมมติว่าหาก ทช. สามารถดำเนินโครงการปลูกป่าชายเลนได้ครบตามเป้าหมาย 3 แสนไร่พร้อมกับกักเก็บปริมาณคาร์บอนได้ที่ระดับเดียวกับค่าเฉลี่ยศักยภาพข้างต้น และได้รับการรับรองปริมาณคาร์บอนเครดิตอย่างน้อย 10 ปี คาดว่าจะเกิดคาร์บอนเครดิตอย่างต่ำ 28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MtCO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bscript"/>
        </w:rPr>
        <w:t>2</w:t>
      </w:r>
    </w:p>
    <w:p w14:paraId="690E10C0" w14:textId="77777777" w:rsidR="00D607E2" w:rsidRP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นับเป็นโอกาสสำหรับภาคธุรกิจทั้งที่เป็นผู้พัฒนาโครงการเพื่อรับประโยชน์จากคาร์บอนเครดิตหรือผู้ที่ต้องการซื้อคาร์บอนเครดิตจากผู้ที่พัฒนาโครงการปลูกป่าชายเลนดังกล่าว เพื่อใช้ในกิจกรรมชดเชยคาร์บอน (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Carbon Offset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)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เพื่อลดปริมาณก๊าซเรือนกระจกที่องค์กรปล่อยเข้าสู่ชั้นบรรยากาศ ซึ่งจะช่วยทำให้ผู้ประกอบการเข้าใกล้เป้าหมาย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Carbon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Neutrality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Net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-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Zero GHG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Emissions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ได้อีกทางหนึ่ง และเป็นการดำเนินงานที่สอดคล้องกับเป้าหมายการพัฒนาที่ยั่งยืน (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SDGs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เช่น เป้าหมาย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SDG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ด้านการอนุรักษ์และใช้ประโยชน์มหาสมุทรและทรัพยากรทะเลอย่างยั่งยืน รวมทั้งเป็นการสร้างความได้เปรียบในการแข่งขันให้กับธุรกิจ ท่ามกลางกระแสความตื่นตัวของผู้บริโภคทั่วโลกที่ใส่ใจปัญหาสิ่งแวดล้อมและความยั่งยืน</w:t>
      </w:r>
    </w:p>
    <w:p w14:paraId="5BA58AF0" w14:textId="77777777" w:rsidR="00D607E2" w:rsidRP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อนึ่ง ผู้ที่พัฒนาโครงการลดการปล่อยก๊าซเรือนกระจกภาคสมัครใจที่ขึ้นทะเบียนโครงการกับ อบก. จะได้ประโยชน์จากมาตรการยกเว้นภาษีเงินได้นิติบุคคล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สำหรับกำไรสุทธิที่เกิดจากการขายคาร์บอนเครดิตในประเทศเป็นระยะเวลา 3 รอบบัญชีต่อเนื่องกัน และยังสร้างรายได้จากการขายคาร์บอนเครดิตด้วย</w:t>
      </w:r>
    </w:p>
    <w:p w14:paraId="0E4A6AD5" w14:textId="77777777" w:rsid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นอกจากนี้ โครงการปลูกป่าชายเลนยังสร้างผลประโยชน์ร่วม (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-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benefit</w:t>
      </w: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) หลายด้านที่นอกเหนือจากการลดก๊าซเรือนกระจกของภาคธุรกิจและประเทศ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เช่น เป็นแหล่งรายได้ให้กับชุมชนท้องถิ่นจากรูปแบบการท่องเที่ยวเชิงนิเวศทางทะเล (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Marine Ecotourism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ปรับปรุงคุณภาพน้ำและระบบนิเวศชายฝั่งทะเล รวมถึงเป็นแหล่งอนุบาลสัตว์น้ำซึ่งช่วยสนับสนุนด้านการทำประมงชายฝั่งอย่างยั่งยืน โดยรวมแล้วนับเป็นการสนับสนุนเศรษฐกิจในชุมชนและอื่นๆ รวมถึงส่งเสริมการพัฒนาอาชีพใหม่ๆ ที่เป็นมิตรกับสิ่งแวดล้อม</w:t>
      </w:r>
    </w:p>
    <w:p w14:paraId="0919B024" w14:textId="7DDDE32D" w:rsidR="00D607E2" w:rsidRPr="00D607E2" w:rsidRDefault="00D607E2" w:rsidP="00D607E2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D607E2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ในเบื้องต้นระบบนิเวศทางทะเลดังกล่าวอาจสร้างมูลค่าเศรษฐกิจโดยรวมให้กับประเทศโดยเฉลี่ยปีละ 4.8 แสนล้านบาทในช่วง 20 ปี (2557-2576) </w:t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อ้างอิงจากการประมาณการมูลค่าเศรษฐกิจรวมของระบบนิเวศป่าชายเลนและหญ้าทะเล (รวมถึงแนวปะการัง) ของสถาบันวิจัยและพัฒนาทรัพยากรทางทะเลและชายฝั่งทะเลและป่าชายเลน กรมทรัพยากรทางทะเลและชายฝั่งปี 2557</w:t>
      </w:r>
      <w:r>
        <w:rPr>
          <w:rStyle w:val="FootnoteReference"/>
          <w:rFonts w:ascii="Cordia New" w:eastAsiaTheme="minorEastAsia" w:hAnsi="Cordia New" w:cs="Cordia New"/>
          <w:color w:val="000000" w:themeColor="text1"/>
          <w:kern w:val="24"/>
          <w:sz w:val="28"/>
          <w:cs/>
        </w:rPr>
        <w:footnoteReference w:id="4"/>
      </w:r>
      <w:r w:rsidRPr="00D607E2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ทั้งนี้ มูลค่าทางเศรษฐกิจโดยส่วนใหญ่เป็นรายได้จากภาคการท่องเที่ยวและการทำประมง ประโยชน์จากการป้องกันการกัดเซาะชายฝั่ง การดูดซับและกักเก็บ</w:t>
      </w:r>
      <w:r w:rsidRPr="00D607E2">
        <w:rPr>
          <w:rFonts w:ascii="Cordia New" w:hAnsi="Cordia New" w:cs="Cordia New"/>
          <w:color w:val="000000" w:themeColor="text1"/>
          <w:kern w:val="24"/>
          <w:sz w:val="28"/>
          <w:cs/>
        </w:rPr>
        <w:t>คาร์บอน อย่างไรก็ดี เนื่องจากการศึกษาดังกล่าวประเมินไว้ในปี 2557 ผ่านมา 9 ปี ประมาณการมูลค่าเศรษฐกิจโดยรวมอาจเปลี่ยนแปลงไปตามบริบททางเศรษฐกิจและสังคมที่เปลี่ยนไปแต่อย่างน้อยชี้ให้เห็นถึงความสำคัญของทรัพยากรทางทะเลและชายฝั่งที่มีต่อเศรษฐกิจและสังคมโดยรวม</w:t>
      </w:r>
    </w:p>
    <w:p w14:paraId="0E9DDA4C" w14:textId="3987028F" w:rsidR="00D607E2" w:rsidRP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</w:p>
    <w:p w14:paraId="645ED229" w14:textId="77777777" w:rsidR="00D607E2" w:rsidRPr="00D607E2" w:rsidRDefault="00D607E2" w:rsidP="00D607E2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</w:p>
    <w:p w14:paraId="3AC68FEB" w14:textId="79FE70F7" w:rsidR="00B21BF3" w:rsidRDefault="00CB0893" w:rsidP="00790FAA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</w:t>
      </w: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:</w:t>
      </w:r>
    </w:p>
    <w:p w14:paraId="377FF017" w14:textId="77777777" w:rsidR="00CB0893" w:rsidRPr="00CB0893" w:rsidRDefault="00CB0893" w:rsidP="00CB0893">
      <w:pPr>
        <w:numPr>
          <w:ilvl w:val="0"/>
          <w:numId w:val="3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การดำเนินโครงการการฟื้นฟูและอนุรักษ์ระบบนิเวศ 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Blue Carbon Ecosystem 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(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BCE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) เป็นทางเลือกที่น่าสนใจในการกักเก็บคาร์บอนสำหรับภาคเอกชนที่ต้องการสร้างรายได้จากการขายคาร์บอนเครดิต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หรือนำคาร์บอนเครดิตไปใช้ในการชดเชยปริมาณการปล่อยก๊าซเรือนกระจกเพื่อบรรลุเป้าหมายความเป็นกลางทางคาร์บอนหรือการปล่อยก๊าซเรือนกระจกสุทธิเป็นศูนย์ เนื่องจาก 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BCE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มีศักยภาพในการกักเก็บคาร์บอนได้จำนวนมาก ในขณะเดียวกันมีต้นทุนในการดำเนินการเพื่อกักเก็บคาร์บอนในระดับที่แข่งขันได้เมื่อเทียบกับระบบนิเวศบนบก </w:t>
      </w:r>
    </w:p>
    <w:p w14:paraId="438703C3" w14:textId="77777777" w:rsidR="00CB0893" w:rsidRPr="00CB0893" w:rsidRDefault="00CB0893" w:rsidP="00CB0893">
      <w:pPr>
        <w:numPr>
          <w:ilvl w:val="0"/>
          <w:numId w:val="37"/>
        </w:num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ในปัจจุบัน 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คาร์บอนเครดิตจากสาขาป่าไม้กำลังเป็นที่นิยมอย่างมาก โดยมีปริมาณซื้อขาย ราคา และมูลค่าการซื้อขายคาร์บอนเครดิตสูงเมื่อเทียบกับสาขาอื่นๆ 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เรามองว่าในอนาคต ราคาและปริมาณความต้องการคาร์บอนเครดิตจากโครงการประเภทการดูดซับ (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Carbon Removal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อย่างเช่นกิจกรรมการปลูกป่าชายเลน มีแนวโน้มที่จะเพิ่มสูงขึ้นอย่างมีนัยสำคัญเมื่อเทียบกับคาร์บอนเครดิตจากโครงการประเภทการลดก๊าซเรือนกระจก</w:t>
      </w:r>
      <w:r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  <w:t xml:space="preserve"> </w:t>
      </w:r>
      <w:r w:rsidRPr="00CB0893">
        <w:rPr>
          <w:rFonts w:ascii="Cordia New" w:hAnsi="Cordia New" w:cs="Cordia New"/>
          <w:color w:val="000000" w:themeColor="text1"/>
          <w:kern w:val="24"/>
          <w:sz w:val="28"/>
          <w:cs/>
        </w:rPr>
        <w:t>(</w:t>
      </w:r>
      <w:r w:rsidRPr="00CB0893">
        <w:rPr>
          <w:rFonts w:ascii="Cordia New" w:hAnsi="Cordia New" w:cs="Cordia New"/>
          <w:color w:val="000000" w:themeColor="text1"/>
          <w:kern w:val="24"/>
          <w:sz w:val="28"/>
        </w:rPr>
        <w:t>Carbon Reduction</w:t>
      </w:r>
      <w:r w:rsidRPr="00CB0893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) เนื่องจากภาคส่วนต่างๆ มีความต้องการใช้คาร์บอนเครดิตที่มีคุณภาพสูงเพื่อบรรลุเป้าหมาย </w:t>
      </w:r>
      <w:r w:rsidRPr="00CB0893">
        <w:rPr>
          <w:rFonts w:ascii="Cordia New" w:hAnsi="Cordia New" w:cs="Cordia New"/>
          <w:color w:val="000000" w:themeColor="text1"/>
          <w:kern w:val="24"/>
          <w:sz w:val="28"/>
        </w:rPr>
        <w:t xml:space="preserve">Carbon Neutrality </w:t>
      </w:r>
      <w:r w:rsidRPr="00CB0893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และ </w:t>
      </w:r>
      <w:r w:rsidRPr="00CB0893">
        <w:rPr>
          <w:rFonts w:ascii="Cordia New" w:hAnsi="Cordia New" w:cs="Cordia New"/>
          <w:color w:val="000000" w:themeColor="text1"/>
          <w:kern w:val="24"/>
          <w:sz w:val="28"/>
        </w:rPr>
        <w:t>Net</w:t>
      </w:r>
      <w:r w:rsidRPr="00CB0893">
        <w:rPr>
          <w:rFonts w:ascii="Cordia New" w:hAnsi="Cordia New" w:cs="Cordia New"/>
          <w:color w:val="000000" w:themeColor="text1"/>
          <w:kern w:val="24"/>
          <w:sz w:val="28"/>
          <w:cs/>
        </w:rPr>
        <w:t>-</w:t>
      </w:r>
      <w:r w:rsidRPr="00CB0893">
        <w:rPr>
          <w:rFonts w:ascii="Cordia New" w:hAnsi="Cordia New" w:cs="Cordia New"/>
          <w:color w:val="000000" w:themeColor="text1"/>
          <w:kern w:val="24"/>
          <w:sz w:val="28"/>
        </w:rPr>
        <w:t>Zero GHG Emissions</w:t>
      </w:r>
    </w:p>
    <w:p w14:paraId="416588F0" w14:textId="77777777" w:rsidR="00CB0893" w:rsidRPr="00CB0893" w:rsidRDefault="00CB0893" w:rsidP="00CB0893">
      <w:pPr>
        <w:numPr>
          <w:ilvl w:val="0"/>
          <w:numId w:val="3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ภาคเอกชนที่สนใจใน 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BCE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อาจเริ่มจากการเข้าร่วมใน “โครงการปลูกป่าชายเลนเพื่อประโยชน์จากคาร์บอนเครดิต” ในพื้นที่ 23 จังหวัด ซึ่งจัดทำโดยกรมทรัพยากรทางทะเลและชายฝั่ง (ทช.) 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โดยองค์กรภาคเอกชนที่เข้าร่วมในการปลูกและบำรุงรักษาป่าชายเลนจะได้ประโยชน์จากการแบ่งปันคาร์บอนเครดิตภายใต้มาตรฐาน 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T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-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VER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หรือมาตรฐานขั้นสูง 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Premium T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-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VER 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ซึ่งเป็นการยกระดับมาตรฐานคาร์บอนเครดิตให้ทัดเทียมกับมาตรฐานสากล โดยสามารถนำไปชดเชยปริมาณการปล่อยก๊าซเรือนกระจก หรือจะสร้างรายได้จาก</w:t>
      </w:r>
      <w:r w:rsidRPr="00CB0893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การขายคาร์บอนเครดิตที่มีคุณภาพดี โดยที่กำไรสุทธิจากการขายคาร์บอนเครดิตภายใต้โครงการ </w:t>
      </w:r>
      <w:r w:rsidRPr="00CB0893">
        <w:rPr>
          <w:rFonts w:ascii="Cordia New" w:hAnsi="Cordia New" w:cs="Cordia New"/>
          <w:color w:val="000000" w:themeColor="text1"/>
          <w:kern w:val="24"/>
          <w:sz w:val="28"/>
        </w:rPr>
        <w:t>T</w:t>
      </w:r>
      <w:r w:rsidRPr="00CB0893">
        <w:rPr>
          <w:rFonts w:ascii="Cordia New" w:hAnsi="Cordia New" w:cs="Cordia New"/>
          <w:color w:val="000000" w:themeColor="text1"/>
          <w:kern w:val="24"/>
          <w:sz w:val="28"/>
          <w:cs/>
        </w:rPr>
        <w:t>-</w:t>
      </w:r>
      <w:r w:rsidRPr="00CB0893">
        <w:rPr>
          <w:rFonts w:ascii="Cordia New" w:hAnsi="Cordia New" w:cs="Cordia New"/>
          <w:color w:val="000000" w:themeColor="text1"/>
          <w:kern w:val="24"/>
          <w:sz w:val="28"/>
        </w:rPr>
        <w:t>VER</w:t>
      </w:r>
      <w:r w:rsidRPr="00CB0893">
        <w:rPr>
          <w:rFonts w:ascii="Cordia New" w:hAnsi="Cordia New" w:cs="Cordia New"/>
          <w:color w:val="000000" w:themeColor="text1"/>
          <w:kern w:val="24"/>
          <w:sz w:val="28"/>
          <w:cs/>
        </w:rPr>
        <w:t xml:space="preserve"> ยังได้รับการยกเว้นภาษีเงินได้นิติบุคคลเป็นระยะเวลา 3 รอบบัญชีต่อเนื่องอีกด้วย</w:t>
      </w:r>
    </w:p>
    <w:p w14:paraId="688CC09C" w14:textId="77777777" w:rsidR="00CB0893" w:rsidRPr="00CB0893" w:rsidRDefault="00CB0893" w:rsidP="00CB0893">
      <w:pPr>
        <w:numPr>
          <w:ilvl w:val="0"/>
          <w:numId w:val="3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นอกจากนี้ 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โครงการประเภท 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BCE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ยังสร้างผลประโยชน์ร่วม (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-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benefit</w:t>
      </w:r>
      <w:r w:rsidRPr="00CB0893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) หลายประการต่อชุมชนและธุรกิจท้องถิ่น 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เช่น ประโยชน์ทางด้านสันทนาการและการท่องเที่ยวเชิงนิเวศทางทะเล (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Marine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Ecotourism</w:t>
      </w:r>
      <w:r w:rsidRPr="00CB0893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การปรับปรุงคุณภาพน้ำและระบบนิเวศชายฝั่งทะเล รวมถึงการเป็นแหล่งอนุบาลสัตว์น้ำซึ่งช่วยสนับสนุนด้านการทำประมงชายฝั่งอย่างยั่งยืน โดยรวมแล้วนับเป็นการสนับสนุนเศรษฐกิจในชุมชนและส่งเสริมการพัฒนาอาชีพใหม่ๆ ที่เป็นมิตรกับสิ่งแวดล้อม</w:t>
      </w:r>
    </w:p>
    <w:p w14:paraId="1A71A781" w14:textId="77777777" w:rsidR="00CB0893" w:rsidRPr="00CB0893" w:rsidRDefault="00CB0893" w:rsidP="00790FAA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</w:p>
    <w:sectPr w:rsidR="00CB0893" w:rsidRPr="00CB0893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6BEC" w14:textId="77777777" w:rsidR="00A81BDF" w:rsidRDefault="00A81BDF" w:rsidP="00DE657B">
      <w:pPr>
        <w:spacing w:after="0" w:line="240" w:lineRule="auto"/>
      </w:pPr>
      <w:r>
        <w:separator/>
      </w:r>
    </w:p>
  </w:endnote>
  <w:endnote w:type="continuationSeparator" w:id="0">
    <w:p w14:paraId="7BD39DF1" w14:textId="77777777" w:rsidR="00A81BDF" w:rsidRDefault="00A81BDF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3611" w14:textId="77777777" w:rsidR="00A81BDF" w:rsidRDefault="00A81BDF" w:rsidP="00DE657B">
      <w:pPr>
        <w:spacing w:after="0" w:line="240" w:lineRule="auto"/>
      </w:pPr>
      <w:r>
        <w:separator/>
      </w:r>
    </w:p>
  </w:footnote>
  <w:footnote w:type="continuationSeparator" w:id="0">
    <w:p w14:paraId="531F373C" w14:textId="77777777" w:rsidR="00A81BDF" w:rsidRDefault="00A81BDF" w:rsidP="00DE657B">
      <w:pPr>
        <w:spacing w:after="0" w:line="240" w:lineRule="auto"/>
      </w:pPr>
      <w:r>
        <w:continuationSeparator/>
      </w:r>
    </w:p>
  </w:footnote>
  <w:footnote w:id="1">
    <w:p w14:paraId="05F3140C" w14:textId="2B926095" w:rsidR="00790FAA" w:rsidRPr="00790FAA" w:rsidRDefault="00790FAA">
      <w:pPr>
        <w:pStyle w:val="FootnoteText"/>
        <w:rPr>
          <w:rFonts w:asciiTheme="minorBidi" w:hAnsiTheme="minorBidi"/>
          <w:sz w:val="24"/>
          <w:szCs w:val="24"/>
          <w:cs/>
        </w:rPr>
      </w:pPr>
      <w:r w:rsidRPr="00790FAA">
        <w:rPr>
          <w:rStyle w:val="FootnoteReference"/>
          <w:rFonts w:asciiTheme="minorBidi" w:hAnsiTheme="minorBidi"/>
          <w:sz w:val="28"/>
          <w:szCs w:val="28"/>
        </w:rPr>
        <w:footnoteRef/>
      </w:r>
      <w:r w:rsidRPr="00790FAA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790FAA">
        <w:rPr>
          <w:rFonts w:asciiTheme="minorBidi" w:hAnsiTheme="minorBidi"/>
          <w:sz w:val="24"/>
          <w:szCs w:val="24"/>
          <w:cs/>
        </w:rPr>
        <w:t xml:space="preserve">อ้างอิงจากบทความต่างๆ อาทิ </w:t>
      </w:r>
      <w:r w:rsidRPr="00790FAA">
        <w:rPr>
          <w:rFonts w:asciiTheme="minorBidi" w:hAnsiTheme="minorBidi"/>
          <w:sz w:val="24"/>
          <w:szCs w:val="24"/>
        </w:rPr>
        <w:t xml:space="preserve">Economist Impact </w:t>
      </w:r>
      <w:r w:rsidRPr="00790FAA">
        <w:rPr>
          <w:rFonts w:asciiTheme="minorBidi" w:hAnsiTheme="minorBidi" w:cs="Cordia New"/>
          <w:sz w:val="24"/>
          <w:szCs w:val="24"/>
          <w:cs/>
        </w:rPr>
        <w:t>(</w:t>
      </w:r>
      <w:r w:rsidRPr="00790FAA">
        <w:rPr>
          <w:rFonts w:asciiTheme="minorBidi" w:hAnsiTheme="minorBidi"/>
          <w:sz w:val="24"/>
          <w:szCs w:val="24"/>
        </w:rPr>
        <w:t>2022</w:t>
      </w:r>
      <w:r w:rsidRPr="00790FAA">
        <w:rPr>
          <w:rFonts w:asciiTheme="minorBidi" w:hAnsiTheme="minorBidi" w:cs="Cordia New"/>
          <w:sz w:val="24"/>
          <w:szCs w:val="24"/>
          <w:cs/>
        </w:rPr>
        <w:t>)</w:t>
      </w:r>
      <w:r w:rsidRPr="00790FAA">
        <w:rPr>
          <w:rFonts w:asciiTheme="minorBidi" w:hAnsiTheme="minorBidi"/>
          <w:sz w:val="24"/>
          <w:szCs w:val="24"/>
        </w:rPr>
        <w:t xml:space="preserve">, World Economic Forum </w:t>
      </w:r>
      <w:r w:rsidRPr="00790FAA">
        <w:rPr>
          <w:rFonts w:asciiTheme="minorBidi" w:hAnsiTheme="minorBidi" w:cs="Cordia New"/>
          <w:sz w:val="24"/>
          <w:szCs w:val="24"/>
          <w:cs/>
        </w:rPr>
        <w:t>(</w:t>
      </w:r>
      <w:r w:rsidRPr="00790FAA">
        <w:rPr>
          <w:rFonts w:asciiTheme="minorBidi" w:hAnsiTheme="minorBidi"/>
          <w:sz w:val="24"/>
          <w:szCs w:val="24"/>
        </w:rPr>
        <w:t>2021</w:t>
      </w:r>
      <w:r w:rsidRPr="00790FAA">
        <w:rPr>
          <w:rFonts w:asciiTheme="minorBidi" w:hAnsiTheme="minorBidi" w:cs="Cordia New"/>
          <w:sz w:val="24"/>
          <w:szCs w:val="24"/>
          <w:cs/>
        </w:rPr>
        <w:t>)</w:t>
      </w:r>
      <w:r w:rsidRPr="00790FAA">
        <w:rPr>
          <w:rFonts w:asciiTheme="minorBidi" w:hAnsiTheme="minorBidi"/>
          <w:sz w:val="24"/>
          <w:szCs w:val="24"/>
        </w:rPr>
        <w:t>, Mcleod et al</w:t>
      </w:r>
      <w:r w:rsidRPr="00790FAA">
        <w:rPr>
          <w:rFonts w:asciiTheme="minorBidi" w:hAnsiTheme="minorBidi" w:cs="Cordia New"/>
          <w:sz w:val="24"/>
          <w:szCs w:val="24"/>
          <w:cs/>
        </w:rPr>
        <w:t>. (</w:t>
      </w:r>
      <w:r w:rsidRPr="00790FAA">
        <w:rPr>
          <w:rFonts w:asciiTheme="minorBidi" w:hAnsiTheme="minorBidi"/>
          <w:sz w:val="24"/>
          <w:szCs w:val="24"/>
        </w:rPr>
        <w:t>2011</w:t>
      </w:r>
      <w:r w:rsidRPr="00790FAA">
        <w:rPr>
          <w:rFonts w:asciiTheme="minorBidi" w:hAnsiTheme="minorBidi" w:cs="Cordia New"/>
          <w:sz w:val="24"/>
          <w:szCs w:val="24"/>
          <w:cs/>
        </w:rPr>
        <w:t>)</w:t>
      </w:r>
      <w:r w:rsidRPr="00790FAA">
        <w:rPr>
          <w:rFonts w:asciiTheme="minorBidi" w:hAnsiTheme="minorBidi"/>
          <w:sz w:val="24"/>
          <w:szCs w:val="24"/>
        </w:rPr>
        <w:t xml:space="preserve">, TGO </w:t>
      </w:r>
      <w:r w:rsidRPr="00790FAA">
        <w:rPr>
          <w:rFonts w:asciiTheme="minorBidi" w:hAnsiTheme="minorBidi" w:cs="Cordia New"/>
          <w:sz w:val="24"/>
          <w:szCs w:val="24"/>
          <w:cs/>
        </w:rPr>
        <w:t>(</w:t>
      </w:r>
      <w:r w:rsidRPr="00790FAA">
        <w:rPr>
          <w:rFonts w:asciiTheme="minorBidi" w:hAnsiTheme="minorBidi"/>
          <w:sz w:val="24"/>
          <w:szCs w:val="24"/>
        </w:rPr>
        <w:t>2022</w:t>
      </w:r>
      <w:r w:rsidRPr="00790FAA">
        <w:rPr>
          <w:rFonts w:asciiTheme="minorBidi" w:hAnsiTheme="minorBidi" w:cs="Cordia New"/>
          <w:sz w:val="24"/>
          <w:szCs w:val="24"/>
          <w:cs/>
        </w:rPr>
        <w:t>)</w:t>
      </w:r>
    </w:p>
  </w:footnote>
  <w:footnote w:id="2">
    <w:p w14:paraId="5441842E" w14:textId="59B6EEF6" w:rsidR="00E5597E" w:rsidRPr="00E5597E" w:rsidRDefault="00E5597E" w:rsidP="00E5597E">
      <w:pPr>
        <w:pStyle w:val="FootnoteText"/>
        <w:rPr>
          <w:rFonts w:asciiTheme="minorBidi" w:hAnsiTheme="minorBidi"/>
          <w:sz w:val="24"/>
          <w:szCs w:val="24"/>
        </w:rPr>
      </w:pPr>
      <w:r w:rsidRPr="00E5597E">
        <w:rPr>
          <w:rStyle w:val="FootnoteReference"/>
          <w:rFonts w:asciiTheme="minorBidi" w:hAnsiTheme="minorBidi"/>
          <w:sz w:val="28"/>
          <w:szCs w:val="28"/>
        </w:rPr>
        <w:footnoteRef/>
      </w:r>
      <w:r w:rsidRPr="00E5597E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E5597E">
        <w:rPr>
          <w:rFonts w:asciiTheme="minorBidi" w:hAnsiTheme="minorBidi" w:cs="Cordia New"/>
          <w:sz w:val="28"/>
          <w:szCs w:val="28"/>
          <w:vertAlign w:val="superscript"/>
          <w:cs/>
        </w:rPr>
        <w:t xml:space="preserve"> </w:t>
      </w:r>
      <w:r w:rsidRPr="00E5597E">
        <w:rPr>
          <w:rFonts w:asciiTheme="minorBidi" w:hAnsiTheme="minorBidi"/>
          <w:sz w:val="24"/>
          <w:szCs w:val="24"/>
        </w:rPr>
        <w:t xml:space="preserve">Teragrams of Carbon </w:t>
      </w:r>
      <w:r w:rsidRPr="00E5597E">
        <w:rPr>
          <w:rFonts w:asciiTheme="minorBidi" w:hAnsiTheme="minorBidi" w:cs="Cordia New"/>
          <w:sz w:val="24"/>
          <w:szCs w:val="24"/>
          <w:cs/>
        </w:rPr>
        <w:t>(</w:t>
      </w:r>
      <w:r w:rsidRPr="00E5597E">
        <w:rPr>
          <w:rFonts w:asciiTheme="minorBidi" w:hAnsiTheme="minorBidi"/>
          <w:sz w:val="24"/>
          <w:szCs w:val="24"/>
        </w:rPr>
        <w:t>TgC</w:t>
      </w:r>
      <w:r w:rsidRPr="00E5597E">
        <w:rPr>
          <w:rFonts w:asciiTheme="minorBidi" w:hAnsiTheme="minorBidi" w:cs="Cordia New"/>
          <w:sz w:val="24"/>
          <w:szCs w:val="24"/>
          <w:cs/>
        </w:rPr>
        <w:t xml:space="preserve">) </w:t>
      </w:r>
      <w:r w:rsidRPr="00E5597E">
        <w:rPr>
          <w:rFonts w:asciiTheme="minorBidi" w:hAnsiTheme="minorBidi"/>
          <w:sz w:val="24"/>
          <w:szCs w:val="24"/>
          <w:cs/>
        </w:rPr>
        <w:t xml:space="preserve">โดยที่ 1 </w:t>
      </w:r>
      <w:r w:rsidRPr="00E5597E">
        <w:rPr>
          <w:rFonts w:asciiTheme="minorBidi" w:hAnsiTheme="minorBidi"/>
          <w:sz w:val="24"/>
          <w:szCs w:val="24"/>
        </w:rPr>
        <w:t xml:space="preserve">TgC </w:t>
      </w:r>
      <w:r w:rsidRPr="00E5597E">
        <w:rPr>
          <w:rFonts w:asciiTheme="minorBidi" w:hAnsiTheme="minorBidi"/>
          <w:sz w:val="24"/>
          <w:szCs w:val="24"/>
          <w:cs/>
        </w:rPr>
        <w:t>มีค่าเท่ากับ 1 ล้านตันคาร์บอน</w:t>
      </w:r>
    </w:p>
    <w:p w14:paraId="48057423" w14:textId="7078BDA3" w:rsidR="00E5597E" w:rsidRDefault="00E5597E">
      <w:pPr>
        <w:pStyle w:val="FootnoteText"/>
      </w:pPr>
    </w:p>
  </w:footnote>
  <w:footnote w:id="3">
    <w:p w14:paraId="0973D82F" w14:textId="455A1D0C" w:rsidR="00D607E2" w:rsidRPr="00D607E2" w:rsidRDefault="00D607E2">
      <w:pPr>
        <w:pStyle w:val="FootnoteText"/>
        <w:rPr>
          <w:rFonts w:asciiTheme="minorBidi" w:hAnsiTheme="minorBidi"/>
          <w:sz w:val="24"/>
          <w:szCs w:val="24"/>
          <w:cs/>
        </w:rPr>
      </w:pPr>
      <w:r w:rsidRPr="00D607E2">
        <w:rPr>
          <w:rStyle w:val="FootnoteReference"/>
          <w:rFonts w:asciiTheme="minorBidi" w:hAnsiTheme="minorBidi"/>
          <w:sz w:val="28"/>
          <w:szCs w:val="28"/>
        </w:rPr>
        <w:footnoteRef/>
      </w:r>
      <w:r w:rsidRPr="00D607E2">
        <w:rPr>
          <w:rFonts w:asciiTheme="minorBidi" w:hAnsiTheme="minorBidi" w:cs="Cordia New"/>
          <w:sz w:val="24"/>
          <w:szCs w:val="24"/>
          <w:cs/>
        </w:rPr>
        <w:t xml:space="preserve"> </w:t>
      </w:r>
      <w:r w:rsidRPr="00D607E2">
        <w:rPr>
          <w:rFonts w:asciiTheme="minorBidi" w:hAnsiTheme="minorBidi"/>
          <w:sz w:val="24"/>
          <w:szCs w:val="24"/>
          <w:cs/>
        </w:rPr>
        <w:t>ความร่วมมือระหว่าง ทช. อบก. มหาวิทยาลัยเกษตรศาสตร์ และมหาวิทยาลัยศิลปากร</w:t>
      </w:r>
    </w:p>
  </w:footnote>
  <w:footnote w:id="4">
    <w:p w14:paraId="4461345A" w14:textId="6AA2BA41" w:rsidR="00D607E2" w:rsidRPr="00D607E2" w:rsidRDefault="00D607E2">
      <w:pPr>
        <w:pStyle w:val="FootnoteText"/>
        <w:rPr>
          <w:rFonts w:asciiTheme="minorBidi" w:hAnsiTheme="minorBidi"/>
          <w:sz w:val="24"/>
          <w:szCs w:val="24"/>
          <w:cs/>
        </w:rPr>
      </w:pPr>
      <w:r w:rsidRPr="00D607E2">
        <w:rPr>
          <w:rStyle w:val="FootnoteReference"/>
          <w:rFonts w:asciiTheme="minorBidi" w:hAnsiTheme="minorBidi"/>
          <w:sz w:val="28"/>
          <w:szCs w:val="28"/>
        </w:rPr>
        <w:footnoteRef/>
      </w:r>
      <w:r w:rsidRPr="00D607E2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D607E2">
        <w:rPr>
          <w:rFonts w:asciiTheme="minorBidi" w:hAnsiTheme="minorBidi"/>
          <w:sz w:val="24"/>
          <w:szCs w:val="24"/>
          <w:cs/>
        </w:rPr>
        <w:t>ศึกษาและประเมินโดย รศ.ดร.อรพรรณ ณ บางช้าง-ศรีเสาวลักษณ์ มหาวิทยาลัยสุโขทัยธรรมาธิราช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BF"/>
    <w:multiLevelType w:val="hybridMultilevel"/>
    <w:tmpl w:val="6E2E4948"/>
    <w:lvl w:ilvl="0" w:tplc="E418EE6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612218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B646F7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A5C62C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7A353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B0AF2A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D0810E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056DBC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F00C29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90D6BC8"/>
    <w:multiLevelType w:val="hybridMultilevel"/>
    <w:tmpl w:val="589E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7F2"/>
    <w:multiLevelType w:val="hybridMultilevel"/>
    <w:tmpl w:val="B7DE55DC"/>
    <w:lvl w:ilvl="0" w:tplc="578E71D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E0E594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5E6431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5BA815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E8A6818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BC6A54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B9C8AA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7D6F10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1CE6A9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F641162"/>
    <w:multiLevelType w:val="hybridMultilevel"/>
    <w:tmpl w:val="13BC4FD2"/>
    <w:lvl w:ilvl="0" w:tplc="9D02E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CA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EA8D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5C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B1A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46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F6E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B766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E41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0DD3123"/>
    <w:multiLevelType w:val="hybridMultilevel"/>
    <w:tmpl w:val="9FC615EA"/>
    <w:lvl w:ilvl="0" w:tplc="10108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78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8C3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90B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602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D89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B60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14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1CE5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16BD0A35"/>
    <w:multiLevelType w:val="hybridMultilevel"/>
    <w:tmpl w:val="A9EA0498"/>
    <w:lvl w:ilvl="0" w:tplc="7CBA505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228BE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C8FD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CAA000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88C7B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A72C7F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77AD98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96F25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C66E2D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E752F67"/>
    <w:multiLevelType w:val="hybridMultilevel"/>
    <w:tmpl w:val="589E0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CA1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3D8384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087A5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638668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038F73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49C9D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EE663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BDE5A2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27871702"/>
    <w:multiLevelType w:val="hybridMultilevel"/>
    <w:tmpl w:val="A1A251FA"/>
    <w:lvl w:ilvl="0" w:tplc="68FAB1E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2307C80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73C886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A2A4F0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DFCDBA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3B61AD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2BC840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98C578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3C4488A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297D4CF8"/>
    <w:multiLevelType w:val="hybridMultilevel"/>
    <w:tmpl w:val="13B0B63E"/>
    <w:lvl w:ilvl="0" w:tplc="F934E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758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AA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A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9D8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A8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92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A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5E0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9A13FB1"/>
    <w:multiLevelType w:val="hybridMultilevel"/>
    <w:tmpl w:val="251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A0619"/>
    <w:multiLevelType w:val="hybridMultilevel"/>
    <w:tmpl w:val="2C2AA1AE"/>
    <w:lvl w:ilvl="0" w:tplc="3110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28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294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06D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B8B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C14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B4C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4E0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7C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3488055A"/>
    <w:multiLevelType w:val="hybridMultilevel"/>
    <w:tmpl w:val="FA34499C"/>
    <w:lvl w:ilvl="0" w:tplc="57D4EA8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5C49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D7AE3C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4A06B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1E2617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788E66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B28506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E8AAF7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2945A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363C6006"/>
    <w:multiLevelType w:val="hybridMultilevel"/>
    <w:tmpl w:val="FCCEF412"/>
    <w:lvl w:ilvl="0" w:tplc="E3AE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748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E72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24D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1AAF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62E6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D2AC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AE4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0024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364D5B6F"/>
    <w:multiLevelType w:val="hybridMultilevel"/>
    <w:tmpl w:val="149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84B2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5D8923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88071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E42184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5C0368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C0414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1E07E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FE6D0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38DD2989"/>
    <w:multiLevelType w:val="hybridMultilevel"/>
    <w:tmpl w:val="6F440A06"/>
    <w:lvl w:ilvl="0" w:tplc="0174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F6D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6C40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80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C2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7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60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6C1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4480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A7A1CAB"/>
    <w:multiLevelType w:val="hybridMultilevel"/>
    <w:tmpl w:val="66D8E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8359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6B0AD8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7B0868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63C687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75A34D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1781C2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214073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D07D4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3B555C59"/>
    <w:multiLevelType w:val="hybridMultilevel"/>
    <w:tmpl w:val="116001FC"/>
    <w:lvl w:ilvl="0" w:tplc="6A1E9B1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1FE7F9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784A6D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A9A7A2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CC44D4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0845D8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BE2CCB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502BC1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3B05A4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 w15:restartNumberingAfterBreak="0">
    <w:nsid w:val="3E5F067E"/>
    <w:multiLevelType w:val="hybridMultilevel"/>
    <w:tmpl w:val="7BB093EA"/>
    <w:lvl w:ilvl="0" w:tplc="EEB8B2D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ACF3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DEAF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FA66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4047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B2BE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EE05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0EEF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0414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C3206"/>
    <w:multiLevelType w:val="hybridMultilevel"/>
    <w:tmpl w:val="FEF2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E6EF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45C2D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5EA444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3A8827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C7C978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25069D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93EB33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73698D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 w15:restartNumberingAfterBreak="0">
    <w:nsid w:val="3F4877AE"/>
    <w:multiLevelType w:val="hybridMultilevel"/>
    <w:tmpl w:val="4BD815BE"/>
    <w:lvl w:ilvl="0" w:tplc="8B162F9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EBE6A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1C8441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79CCC2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9802E7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2E6A2E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A322E4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AAAFC8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C7AE17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444424F1"/>
    <w:multiLevelType w:val="hybridMultilevel"/>
    <w:tmpl w:val="EA2A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2B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FC2AB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CA963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54211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8AF9F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6C6C2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FAFF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9C04C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 w15:restartNumberingAfterBreak="0">
    <w:nsid w:val="452B5125"/>
    <w:multiLevelType w:val="hybridMultilevel"/>
    <w:tmpl w:val="547CB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E89A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310DDE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2F835B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F4C23F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FE933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B241D4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DC214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7E06D2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 w15:restartNumberingAfterBreak="0">
    <w:nsid w:val="46A20729"/>
    <w:multiLevelType w:val="hybridMultilevel"/>
    <w:tmpl w:val="AE8CC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C0BB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5EE46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BCD76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186F7F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DF4726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3A49A1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0527D7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31EA65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4FF5239C"/>
    <w:multiLevelType w:val="hybridMultilevel"/>
    <w:tmpl w:val="98F2191E"/>
    <w:lvl w:ilvl="0" w:tplc="DFA8D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ECE2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5D4B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88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D8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8F8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1AD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A48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8AC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4AC1D88"/>
    <w:multiLevelType w:val="hybridMultilevel"/>
    <w:tmpl w:val="DF1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6" w15:restartNumberingAfterBreak="0">
    <w:nsid w:val="638406A3"/>
    <w:multiLevelType w:val="hybridMultilevel"/>
    <w:tmpl w:val="844E426C"/>
    <w:lvl w:ilvl="0" w:tplc="BB0062B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2D8638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D861E7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B0288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6F61ED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476A6E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BBC1AC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B8AC83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DAE6FA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64322222"/>
    <w:multiLevelType w:val="hybridMultilevel"/>
    <w:tmpl w:val="5F54B07C"/>
    <w:lvl w:ilvl="0" w:tplc="3630171E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AE89C8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636269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5E76A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68E7CD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79E627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594942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3EACDC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3E4C3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64822DCE"/>
    <w:multiLevelType w:val="hybridMultilevel"/>
    <w:tmpl w:val="1968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A368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30B8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56A3A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3E753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02A272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52799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76CC1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BEC0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 w15:restartNumberingAfterBreak="0">
    <w:nsid w:val="6D0F394E"/>
    <w:multiLevelType w:val="hybridMultilevel"/>
    <w:tmpl w:val="44480570"/>
    <w:lvl w:ilvl="0" w:tplc="F328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348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C2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44B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F23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B880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604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166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9A8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6E1C0536"/>
    <w:multiLevelType w:val="hybridMultilevel"/>
    <w:tmpl w:val="386035BE"/>
    <w:lvl w:ilvl="0" w:tplc="15F83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4D42B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360C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22C46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301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D69A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4251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E057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34B8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7762E"/>
    <w:multiLevelType w:val="hybridMultilevel"/>
    <w:tmpl w:val="0412A1CC"/>
    <w:lvl w:ilvl="0" w:tplc="8F3A4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F68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BA6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D382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E00B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BC1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6748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55A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E24C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 w15:restartNumberingAfterBreak="0">
    <w:nsid w:val="733F0C1F"/>
    <w:multiLevelType w:val="hybridMultilevel"/>
    <w:tmpl w:val="5F0CC126"/>
    <w:lvl w:ilvl="0" w:tplc="443411C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3EE7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4C45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4AC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66EE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DEC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74E4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8242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105E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663092"/>
    <w:multiLevelType w:val="hybridMultilevel"/>
    <w:tmpl w:val="FC12DBDC"/>
    <w:lvl w:ilvl="0" w:tplc="0EFC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4603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CB85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2B09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4AEE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18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DAE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B1C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8F8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 w15:restartNumberingAfterBreak="0">
    <w:nsid w:val="7C61605B"/>
    <w:multiLevelType w:val="hybridMultilevel"/>
    <w:tmpl w:val="8060759C"/>
    <w:lvl w:ilvl="0" w:tplc="60561E1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A881AA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4A61B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AF619B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874E61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77AC16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8C621A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9F61ED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4CCDFF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 w15:restartNumberingAfterBreak="0">
    <w:nsid w:val="7D2F52B6"/>
    <w:multiLevelType w:val="hybridMultilevel"/>
    <w:tmpl w:val="A69C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8209B"/>
    <w:multiLevelType w:val="hybridMultilevel"/>
    <w:tmpl w:val="4B80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53DBD"/>
    <w:multiLevelType w:val="hybridMultilevel"/>
    <w:tmpl w:val="97A88CCC"/>
    <w:lvl w:ilvl="0" w:tplc="DE6E9BA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330493A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45E756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DA49BE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79EF10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7BA9D4E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F8EEC1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EA020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E24F5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FB06085"/>
    <w:multiLevelType w:val="hybridMultilevel"/>
    <w:tmpl w:val="3A44C606"/>
    <w:lvl w:ilvl="0" w:tplc="55E818A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64AE6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9C2A3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48E6D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E4206D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2FCE93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81CA2D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CE434D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546F0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28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38"/>
  </w:num>
  <w:num w:numId="10">
    <w:abstractNumId w:val="22"/>
  </w:num>
  <w:num w:numId="11">
    <w:abstractNumId w:val="18"/>
  </w:num>
  <w:num w:numId="12">
    <w:abstractNumId w:val="21"/>
  </w:num>
  <w:num w:numId="13">
    <w:abstractNumId w:val="0"/>
  </w:num>
  <w:num w:numId="14">
    <w:abstractNumId w:val="23"/>
  </w:num>
  <w:num w:numId="15">
    <w:abstractNumId w:val="14"/>
  </w:num>
  <w:num w:numId="16">
    <w:abstractNumId w:val="19"/>
  </w:num>
  <w:num w:numId="17">
    <w:abstractNumId w:val="33"/>
  </w:num>
  <w:num w:numId="18">
    <w:abstractNumId w:val="8"/>
  </w:num>
  <w:num w:numId="19">
    <w:abstractNumId w:val="10"/>
  </w:num>
  <w:num w:numId="20">
    <w:abstractNumId w:val="1"/>
  </w:num>
  <w:num w:numId="21">
    <w:abstractNumId w:val="3"/>
  </w:num>
  <w:num w:numId="22">
    <w:abstractNumId w:val="36"/>
  </w:num>
  <w:num w:numId="23">
    <w:abstractNumId w:val="35"/>
  </w:num>
  <w:num w:numId="24">
    <w:abstractNumId w:val="9"/>
  </w:num>
  <w:num w:numId="25">
    <w:abstractNumId w:val="26"/>
  </w:num>
  <w:num w:numId="26">
    <w:abstractNumId w:val="29"/>
  </w:num>
  <w:num w:numId="27">
    <w:abstractNumId w:val="4"/>
  </w:num>
  <w:num w:numId="28">
    <w:abstractNumId w:val="31"/>
  </w:num>
  <w:num w:numId="29">
    <w:abstractNumId w:val="27"/>
  </w:num>
  <w:num w:numId="30">
    <w:abstractNumId w:val="12"/>
  </w:num>
  <w:num w:numId="31">
    <w:abstractNumId w:val="2"/>
  </w:num>
  <w:num w:numId="32">
    <w:abstractNumId w:val="30"/>
  </w:num>
  <w:num w:numId="33">
    <w:abstractNumId w:val="32"/>
  </w:num>
  <w:num w:numId="34">
    <w:abstractNumId w:val="17"/>
  </w:num>
  <w:num w:numId="35">
    <w:abstractNumId w:val="16"/>
  </w:num>
  <w:num w:numId="36">
    <w:abstractNumId w:val="7"/>
  </w:num>
  <w:num w:numId="37">
    <w:abstractNumId w:val="15"/>
  </w:num>
  <w:num w:numId="38">
    <w:abstractNumId w:val="34"/>
  </w:num>
  <w:num w:numId="3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E2C4D"/>
    <w:rsid w:val="000F1638"/>
    <w:rsid w:val="000F65EE"/>
    <w:rsid w:val="00101DE1"/>
    <w:rsid w:val="00101F22"/>
    <w:rsid w:val="0011314F"/>
    <w:rsid w:val="00117D96"/>
    <w:rsid w:val="001439F5"/>
    <w:rsid w:val="00146E1D"/>
    <w:rsid w:val="0015457A"/>
    <w:rsid w:val="001634A5"/>
    <w:rsid w:val="00177E26"/>
    <w:rsid w:val="001A2AC0"/>
    <w:rsid w:val="001A3315"/>
    <w:rsid w:val="001B4841"/>
    <w:rsid w:val="001B4905"/>
    <w:rsid w:val="001B77A2"/>
    <w:rsid w:val="001C5592"/>
    <w:rsid w:val="00205E4F"/>
    <w:rsid w:val="0022339B"/>
    <w:rsid w:val="00224A6F"/>
    <w:rsid w:val="00234C3A"/>
    <w:rsid w:val="00242708"/>
    <w:rsid w:val="0029135D"/>
    <w:rsid w:val="00293DA0"/>
    <w:rsid w:val="002A15F6"/>
    <w:rsid w:val="002A3492"/>
    <w:rsid w:val="002B3211"/>
    <w:rsid w:val="002B7958"/>
    <w:rsid w:val="002C1F85"/>
    <w:rsid w:val="00304FA9"/>
    <w:rsid w:val="003256BC"/>
    <w:rsid w:val="00331BAF"/>
    <w:rsid w:val="00356C1E"/>
    <w:rsid w:val="003579DC"/>
    <w:rsid w:val="00364A97"/>
    <w:rsid w:val="003759D1"/>
    <w:rsid w:val="00376993"/>
    <w:rsid w:val="0038005C"/>
    <w:rsid w:val="003B49F2"/>
    <w:rsid w:val="003B54F9"/>
    <w:rsid w:val="003C2077"/>
    <w:rsid w:val="003C20D1"/>
    <w:rsid w:val="0042132A"/>
    <w:rsid w:val="00435A40"/>
    <w:rsid w:val="00455ABD"/>
    <w:rsid w:val="00457A21"/>
    <w:rsid w:val="00485172"/>
    <w:rsid w:val="004D39D7"/>
    <w:rsid w:val="004E6FDF"/>
    <w:rsid w:val="004F0A51"/>
    <w:rsid w:val="004F29F1"/>
    <w:rsid w:val="004F64D8"/>
    <w:rsid w:val="00524452"/>
    <w:rsid w:val="005339EE"/>
    <w:rsid w:val="00542E35"/>
    <w:rsid w:val="00597596"/>
    <w:rsid w:val="005A2258"/>
    <w:rsid w:val="005A3394"/>
    <w:rsid w:val="005B32AB"/>
    <w:rsid w:val="005B6E7A"/>
    <w:rsid w:val="005B7F1F"/>
    <w:rsid w:val="005F7E82"/>
    <w:rsid w:val="00605694"/>
    <w:rsid w:val="006310C7"/>
    <w:rsid w:val="00635174"/>
    <w:rsid w:val="0065091A"/>
    <w:rsid w:val="006528DF"/>
    <w:rsid w:val="00656CBD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71AF0"/>
    <w:rsid w:val="0078048F"/>
    <w:rsid w:val="00780602"/>
    <w:rsid w:val="00783424"/>
    <w:rsid w:val="00790FAA"/>
    <w:rsid w:val="0079709D"/>
    <w:rsid w:val="007A1E31"/>
    <w:rsid w:val="007A6D61"/>
    <w:rsid w:val="007B073D"/>
    <w:rsid w:val="007C3B43"/>
    <w:rsid w:val="007E61D0"/>
    <w:rsid w:val="008058F3"/>
    <w:rsid w:val="008129D6"/>
    <w:rsid w:val="008301AA"/>
    <w:rsid w:val="00850E72"/>
    <w:rsid w:val="00876985"/>
    <w:rsid w:val="00895DED"/>
    <w:rsid w:val="00896A1E"/>
    <w:rsid w:val="008B0A97"/>
    <w:rsid w:val="008D2712"/>
    <w:rsid w:val="008E0408"/>
    <w:rsid w:val="008E359F"/>
    <w:rsid w:val="00900F35"/>
    <w:rsid w:val="00901197"/>
    <w:rsid w:val="009115B3"/>
    <w:rsid w:val="00915B9D"/>
    <w:rsid w:val="009211B8"/>
    <w:rsid w:val="0092549E"/>
    <w:rsid w:val="00933653"/>
    <w:rsid w:val="00942C03"/>
    <w:rsid w:val="009676C3"/>
    <w:rsid w:val="00970127"/>
    <w:rsid w:val="00972319"/>
    <w:rsid w:val="009A1460"/>
    <w:rsid w:val="009A3759"/>
    <w:rsid w:val="009C03AB"/>
    <w:rsid w:val="009D0B82"/>
    <w:rsid w:val="009D404B"/>
    <w:rsid w:val="009F51D2"/>
    <w:rsid w:val="00A002ED"/>
    <w:rsid w:val="00A06662"/>
    <w:rsid w:val="00A1208D"/>
    <w:rsid w:val="00A33B22"/>
    <w:rsid w:val="00A46A21"/>
    <w:rsid w:val="00A543AE"/>
    <w:rsid w:val="00A64631"/>
    <w:rsid w:val="00A8060C"/>
    <w:rsid w:val="00A81BDF"/>
    <w:rsid w:val="00A86A1E"/>
    <w:rsid w:val="00A96C18"/>
    <w:rsid w:val="00AB4EA5"/>
    <w:rsid w:val="00AE435F"/>
    <w:rsid w:val="00AF2F44"/>
    <w:rsid w:val="00B00512"/>
    <w:rsid w:val="00B21BF3"/>
    <w:rsid w:val="00B24048"/>
    <w:rsid w:val="00B303D3"/>
    <w:rsid w:val="00B31870"/>
    <w:rsid w:val="00B5400A"/>
    <w:rsid w:val="00B67710"/>
    <w:rsid w:val="00B774C0"/>
    <w:rsid w:val="00BA025C"/>
    <w:rsid w:val="00BB39C4"/>
    <w:rsid w:val="00BC00EC"/>
    <w:rsid w:val="00BF1179"/>
    <w:rsid w:val="00BF619D"/>
    <w:rsid w:val="00BF7072"/>
    <w:rsid w:val="00BF77D0"/>
    <w:rsid w:val="00C00371"/>
    <w:rsid w:val="00C0102A"/>
    <w:rsid w:val="00C23894"/>
    <w:rsid w:val="00C4630B"/>
    <w:rsid w:val="00C617AB"/>
    <w:rsid w:val="00C67FDD"/>
    <w:rsid w:val="00C72915"/>
    <w:rsid w:val="00C83FDE"/>
    <w:rsid w:val="00CA005D"/>
    <w:rsid w:val="00CB0893"/>
    <w:rsid w:val="00CC18BE"/>
    <w:rsid w:val="00CC4422"/>
    <w:rsid w:val="00CC5EC7"/>
    <w:rsid w:val="00CD6683"/>
    <w:rsid w:val="00CE3151"/>
    <w:rsid w:val="00D2676D"/>
    <w:rsid w:val="00D3439F"/>
    <w:rsid w:val="00D528D2"/>
    <w:rsid w:val="00D5607A"/>
    <w:rsid w:val="00D607E2"/>
    <w:rsid w:val="00D62E7E"/>
    <w:rsid w:val="00D63A3F"/>
    <w:rsid w:val="00D92196"/>
    <w:rsid w:val="00D96B5D"/>
    <w:rsid w:val="00DB1474"/>
    <w:rsid w:val="00DB20D5"/>
    <w:rsid w:val="00DB7D97"/>
    <w:rsid w:val="00DC0474"/>
    <w:rsid w:val="00DC4437"/>
    <w:rsid w:val="00DC7A32"/>
    <w:rsid w:val="00DD236B"/>
    <w:rsid w:val="00DD7915"/>
    <w:rsid w:val="00DE0AED"/>
    <w:rsid w:val="00DE657B"/>
    <w:rsid w:val="00DF013E"/>
    <w:rsid w:val="00E0792F"/>
    <w:rsid w:val="00E20276"/>
    <w:rsid w:val="00E31230"/>
    <w:rsid w:val="00E378EF"/>
    <w:rsid w:val="00E4159A"/>
    <w:rsid w:val="00E4244C"/>
    <w:rsid w:val="00E545C5"/>
    <w:rsid w:val="00E5597E"/>
    <w:rsid w:val="00E569C2"/>
    <w:rsid w:val="00E70B34"/>
    <w:rsid w:val="00E80C43"/>
    <w:rsid w:val="00E92FAC"/>
    <w:rsid w:val="00EA7631"/>
    <w:rsid w:val="00EB763D"/>
    <w:rsid w:val="00EC7971"/>
    <w:rsid w:val="00EE0C46"/>
    <w:rsid w:val="00EE1C47"/>
    <w:rsid w:val="00EF3F4C"/>
    <w:rsid w:val="00F016E2"/>
    <w:rsid w:val="00F072A5"/>
    <w:rsid w:val="00F13AF3"/>
    <w:rsid w:val="00F23D61"/>
    <w:rsid w:val="00F54ED6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92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8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829">
          <w:marLeft w:val="27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70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32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0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6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6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54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09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626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26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2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93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48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2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4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7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54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7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79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34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8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7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85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9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9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5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9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2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0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179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3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1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7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20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8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4177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2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3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1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10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28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11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8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8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9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6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6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9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3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114">
          <w:marLeft w:val="27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1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D1F3-84E6-4042-9AE9-D8A0B184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Warin Trino</cp:lastModifiedBy>
  <cp:revision>2</cp:revision>
  <dcterms:created xsi:type="dcterms:W3CDTF">2023-06-27T04:08:00Z</dcterms:created>
  <dcterms:modified xsi:type="dcterms:W3CDTF">2023-06-27T04:08:00Z</dcterms:modified>
</cp:coreProperties>
</file>