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C1" w:rsidRDefault="003B1932">
      <w:pPr>
        <w:spacing w:after="0" w:line="240" w:lineRule="auto"/>
        <w:jc w:val="both"/>
        <w:rPr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sz w:val="32"/>
          <w:szCs w:val="32"/>
        </w:rPr>
        <w:drawing>
          <wp:inline distT="0" distB="0" distL="0" distR="0">
            <wp:extent cx="1402120" cy="5385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120" cy="53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45C1" w:rsidRDefault="003B1932">
      <w:pPr>
        <w:spacing w:before="120" w:after="120" w:line="240" w:lineRule="auto"/>
        <w:ind w:left="720" w:firstLine="720"/>
        <w:jc w:val="right"/>
        <w:rPr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7845C1" w:rsidRDefault="003B1932">
      <w:pPr>
        <w:spacing w:before="120" w:after="120" w:line="240" w:lineRule="auto"/>
        <w:jc w:val="both"/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</w:pPr>
      <w:bookmarkStart w:id="0" w:name="_gjdgxs" w:colFirst="0" w:colLast="0"/>
      <w:bookmarkEnd w:id="0"/>
      <w:proofErr w:type="spellStart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 COMPASS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ชี้โอกาสธุรกิจไทยในซาอุฯ อานิสงส์ฟื้นความสัมพันธ์ และแผน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Saudi Vision 2030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หนุนส่งออกและท่องเที่ยวโตก้าวกระโดด</w:t>
      </w:r>
    </w:p>
    <w:p w:rsidR="007845C1" w:rsidRDefault="003B1932">
      <w:pPr>
        <w:spacing w:after="0" w:line="240" w:lineRule="auto"/>
        <w:ind w:firstLine="72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 COMPASS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มองซาอุดิอาระเบียเป็นตลาดที่มีศักยภาพเติบโตสูง อานิสงส์จากการฟื้นฟูความสัมพันธ์ทางการทูตและแรงหนุนจากนโยบายปฏิรูป “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Saudi Vision </w:t>
      </w:r>
      <w:proofErr w:type="gramStart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2030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”  คาดการส่งออกไทยไปซาอุฯสูงถึง</w:t>
      </w:r>
      <w:proofErr w:type="gramEnd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แสนล้านบาท เติบโต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เท่า จำนวนนักท่องเที่ยวซาอุฯแตะ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แสนคนในอีก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7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ปีข้างหน้า  แนะผู้ประกอบการไทยใช้ประโยชน์จากโอกาสทางการค้า ภาคบริการ และการลงทุน ขยายตลาดหร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ือ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หา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ช่องทาง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ล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งทุน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สร้างการเติบโตในอนาคต </w:t>
      </w:r>
    </w:p>
    <w:p w:rsidR="007845C1" w:rsidRDefault="000C7552">
      <w:pPr>
        <w:spacing w:after="0" w:line="240" w:lineRule="auto"/>
        <w:ind w:firstLine="72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ดร. ฉมาดนัย มากนวล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ผู้อำนวยการฝ่าย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Business Risk and Macro Research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ธนาคารกรุงไทย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เปิดเผยว่า สัมพันธภาพที่แน่นแฟ้นยิ่งขึ้นระหว่างไทยและซาอุดิอาระเบีย เป็นปัจจัยเสริมสร้างโอกาสทางเศรษฐกิจให้ทั้ง</w:t>
      </w:r>
      <w:r w:rsidR="003B1932">
        <w:rPr>
          <w:rFonts w:ascii="Cordia New" w:eastAsia="Cordia New" w:hAnsi="Cordia New" w:cs="Cordia New"/>
          <w:sz w:val="30"/>
          <w:szCs w:val="30"/>
          <w:highlight w:val="white"/>
          <w:cs/>
        </w:rPr>
        <w:t>สอง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ประเทศ  โดยการส่งออกสินค้าของไทยไปซาอุฯและจำนวนนักท่องเที่ยวจากซาอุฯ กลับมาเติบโตแบบก้าวกระโดดหลังฟื้นความสัมพันธ์  ขณะที่</w:t>
      </w:r>
      <w:r w:rsidR="003B1932">
        <w:rPr>
          <w:rFonts w:ascii="Cordia New" w:eastAsia="Cordia New" w:hAnsi="Cordia New" w:cs="Cordia New"/>
          <w:sz w:val="30"/>
          <w:szCs w:val="30"/>
          <w:highlight w:val="white"/>
          <w:cs/>
        </w:rPr>
        <w:t>ภาครัฐ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และภาคเอกชนได้กระชับความร่วมมือทางธุรกิจ หนุนเศรษฐกิจไทยให้มีโอกาสเติบโตต่อเนื่อง นอกจากนี้ยังมีปัจจัยสนับสนุนจากแผนปฏิรูปประเทศของซาอุฯ  หรือ  “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Saudi Vision 2030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” ที่มีเป้าหมายเพิ่มมูลค่า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GDP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เป็น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เท่า ภายในปี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2573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(เทียบจากปี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2559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)  </w:t>
      </w:r>
      <w:r w:rsidR="003B1932">
        <w:rPr>
          <w:rFonts w:ascii="Cordia New" w:eastAsia="Cordia New" w:hAnsi="Cordia New" w:cs="Cordia New"/>
          <w:sz w:val="30"/>
          <w:szCs w:val="30"/>
          <w:highlight w:val="white"/>
          <w:cs/>
        </w:rPr>
        <w:t>ปัจจัยหลัก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มาจากการลงทุนที่ไม่เกี่ยวข้องกับน้ำมัน (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Non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-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oil economy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) มูลค่ากว่า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4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ล้านล้านดอลลาร์สหรัฐ  ช่วยสร้างงานใหม่ถึง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6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ล้านตำแหน่ง  ถือเป็นตลาดที่มีกำลังซื้อสูง  เป็นโอกาสสำหรับการส่งออกสินค้า และการดึงดูดนักท่องเที่ยวซาอุฯมาไทย  </w:t>
      </w:r>
    </w:p>
    <w:p w:rsidR="007845C1" w:rsidRDefault="003B1932">
      <w:pPr>
        <w:spacing w:after="0" w:line="240" w:lineRule="auto"/>
        <w:ind w:firstLine="86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“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 COMPASS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คาดการณ์ว่า จากการฟื้นความสัมพันธ์ระหว่างประเทศและ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Saudi Vision 2030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จะช่วยสร้างมูลค่าทางเศรษฐกิจเพิ่มขึ้นถึง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57,018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ล้านบาท คิดเป็น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0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21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% ของ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GDP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โดยมูลค่าการส่งออกของไทยไปยังซาอุฯในปี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2573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มีโอกาสสูงถึง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แสนล้านบาท หรือเพิ่มขึ้นกว่า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เท่า จากปี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2562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ก่อนเกิดการแพร่ระบาดของโควิด-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19 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และคาดว่านักท่องเที่ยวซาอุฯจะมีโอกาสแตะ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แสนคนในอีก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7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ปีข้างหน้า สร้างรายได้ให้กับภาคการท่องเที่ยวไทยราว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32,900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ล้านบาท หรือเพิ่มขึ้นเกือบ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10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เท่าจากช่วงก่อน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เกิดโควิด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ซึ่งปัจจัยดังกล่าวยังจะช่วยหนุนการเติบโตของ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GDP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ตามศักยภาพในระยะยาวอีกด้วย”  </w:t>
      </w:r>
    </w:p>
    <w:p w:rsidR="007845C1" w:rsidRDefault="000C7552">
      <w:pPr>
        <w:spacing w:after="0" w:line="240" w:lineRule="auto"/>
        <w:ind w:firstLine="86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bookmarkStart w:id="1" w:name="_GoBack"/>
      <w:r w:rsidRPr="000C7552"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ทั้งนี้</w:t>
      </w:r>
      <w:bookmarkEnd w:id="1"/>
      <w:r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highlight w:val="white"/>
          <w:cs/>
        </w:rPr>
        <w:t xml:space="preserve">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ปัจจัยบวกจากการรื้อฟื้นความสัมพันธ์ทางการทูตและแรงหนุนจากนโยบาย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Saudi Vision 2030 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จะสร้างโอกาสแก่ผู้ประกอบการ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3 </w:t>
      </w:r>
      <w:r w:rsidR="003B1932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ด้านหลักๆ ได้แก่</w:t>
      </w:r>
    </w:p>
    <w:p w:rsidR="007845C1" w:rsidRDefault="003B1932">
      <w:pPr>
        <w:spacing w:after="0" w:line="240" w:lineRule="auto"/>
        <w:ind w:firstLine="86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.โอกาสทางการค้า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โดยการส่งออกไปซาอุฯ เติบโตแบบก้าวกระโดดหลังฟื้นความสัมพันธ์  และมีโอกาสเติบโตมากขึ้นในระยะข้างหน้า โดยเฉพาะสินค้าที่มีศักยภาพสูง โด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ยม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องว่า สินค้าไทยที่เป็น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Rising Star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ในตลาดซาอุฯ ได้แก่ สินค้าในกลุ่มอาหาร เช่น อาหารทะเลกระป๋องและแปรรูป ผักและผลไม้กระป๋องและแปรรูป เครื่องดื่ม สิ่งปรุงรสอาหาร ไก่ และอาหารสัตว์เลี้ยง  ซึ่งกลุ่มนี้มีส่วนแบ่งตลาดในซาอุฯ ไม่มากนัก จึงมีโอกาสในการช่วงชิงส่วนแบ่งตลาดคืน อีกทั้งเป็นสินค้าที่สอดรับกับเมกะเทรนด์ด้านความมั่นคงทางอาหารของซาอุฯ สินค้าในกลุ่มวัสดุก่อสร้าง เช่น ไม้และผลิตภัณฑ์ไม้ เหล็ก และปูนซีเมนต์ สินค้ากลุ่มเครื่องสำอาง และสินค้ากลุ่มรถยนต์ อุปกรณ์และส่วนประกอบ </w:t>
      </w:r>
    </w:p>
    <w:p w:rsidR="007845C1" w:rsidRDefault="003B1932">
      <w:pPr>
        <w:spacing w:after="0" w:line="240" w:lineRule="auto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ab/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2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.โอกาสของธุรกิจภาคบริการ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ประเมินว่าธุรกิจท่องเที่ยว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Healthcare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และอสังหา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ริมทรัพย์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จะได้รับอานิสงส์จากแนวโน้มการเติบโตของลูกค้าชาวซาอุฯ ซึ่งมีจุดเด่นในด้านการจับจ่ายใช้สอยสูงและมีระยะเวลาพำนักในไทยยาวกว่านักท่องเที่ยวกลุ่มอื่น  </w:t>
      </w:r>
    </w:p>
    <w:p w:rsidR="007845C1" w:rsidRDefault="003B1932">
      <w:pPr>
        <w:spacing w:after="0" w:line="240" w:lineRule="auto"/>
        <w:ind w:firstLine="72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.โอกาสการลงทุน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proofErr w:type="gramStart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คาดการณ์ว่าจากแผนการส่งเสริมการลงทุนของทางการและภาคเอกชน  จะดึงดูดเม็ดเงินลงทุนจากซาอุฯได้ประมาณ</w:t>
      </w:r>
      <w:proofErr w:type="gramEnd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–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6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แสนล้านบาท  นอกจากนี้ ผู้ประกอบการไทย ยังมีโอกาสไปลงทุนในซาอุฯ จากอานิสงส์นโยบายเปิดรับนักลงทุนต่างชาติภายใต้ “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Saudi Vision 2030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” โดยมีอุตสาหกรรมเป้าหมายคือ อุตสาหกรรมสุขภาพ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lastRenderedPageBreak/>
        <w:t>และการแพทย์ อาหารแปรรูป ก่อสร้าง อสังหาฯ ท่องเที่ยว และยานยนต์ ซึ่งเป็นอุตสาหกรรมที่ไทยมีความสามารถในการแข่งขัน</w:t>
      </w:r>
    </w:p>
    <w:p w:rsidR="007845C1" w:rsidRDefault="003B1932">
      <w:pPr>
        <w:spacing w:after="0" w:line="240" w:lineRule="auto"/>
        <w:ind w:firstLine="86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จากศักยภาพด้านธุรกิจและการลงทุนที่เพิ่มขึ้นดังกล่าว จะส่งผลให้ธุรกรรมทางการเงินที่เกี่ยวกับการค้าและการลงทุนระหว่างประเทศมีแนวโน้มสูงขึ้น โดยปัจจุบันธนาคารพาณิชย์ของไทยมีความพร้อมในการให้บริการทางการเงินที่สะดวก รวดเร็ว และปลอดภัย ซึ่งธุรกรรมการโอนเงินสกุลท้องถิ่นของซาอุดิอาระเบีย “ซาอุดิ ริยัล (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Saudi Riyal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)” ของธนาคารกรุงไทย  เป็นอีกตัวอย่างที่จะหนุนผู้ประกอบการในการขยายธุรกิจและการลงทุนระหว่าง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ประเทศ เพื่อรองรับการเติบโตทางเศรษฐกิจที่จะเกิดขึ้นในอนาคต </w:t>
      </w:r>
    </w:p>
    <w:p w:rsidR="007845C1" w:rsidRDefault="007845C1">
      <w:pPr>
        <w:spacing w:after="0" w:line="240" w:lineRule="auto"/>
        <w:ind w:firstLine="86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</w:p>
    <w:p w:rsidR="007845C1" w:rsidRDefault="007845C1">
      <w:pPr>
        <w:spacing w:after="0" w:line="240" w:lineRule="auto"/>
        <w:jc w:val="both"/>
        <w:rPr>
          <w:rFonts w:ascii="Cordia New" w:eastAsia="Cordia New" w:hAnsi="Cordia New" w:cs="Cordia New"/>
          <w:b/>
          <w:color w:val="0D0D0D"/>
          <w:sz w:val="30"/>
          <w:szCs w:val="30"/>
        </w:rPr>
      </w:pPr>
    </w:p>
    <w:p w:rsidR="007845C1" w:rsidRDefault="003B1932">
      <w:p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D0D0D"/>
          <w:sz w:val="30"/>
          <w:szCs w:val="30"/>
        </w:rPr>
        <w:t>Marketing Strategy </w:t>
      </w:r>
    </w:p>
    <w:p w:rsidR="007845C1" w:rsidRDefault="003B1932">
      <w:pPr>
        <w:spacing w:after="0" w:line="240" w:lineRule="auto"/>
        <w:jc w:val="both"/>
        <w:rPr>
          <w:rFonts w:ascii="Cordia New" w:eastAsia="Cordia New" w:hAnsi="Cordia New" w:cs="Cordia New"/>
          <w:b/>
          <w:color w:val="0D0D0D"/>
          <w:sz w:val="30"/>
          <w:szCs w:val="30"/>
        </w:rPr>
      </w:pPr>
      <w:r>
        <w:rPr>
          <w:rFonts w:ascii="Cordia New" w:eastAsia="Cordia New" w:hAnsi="Cordia New" w:cs="Cordia New"/>
          <w:b/>
          <w:color w:val="0D0D0D"/>
          <w:sz w:val="30"/>
          <w:szCs w:val="30"/>
        </w:rPr>
        <w:t xml:space="preserve">8 </w:t>
      </w:r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color w:val="0D0D0D"/>
          <w:sz w:val="30"/>
          <w:szCs w:val="30"/>
        </w:rPr>
        <w:t>2566</w:t>
      </w:r>
    </w:p>
    <w:p w:rsidR="007845C1" w:rsidRDefault="007845C1">
      <w:pPr>
        <w:spacing w:after="0" w:line="240" w:lineRule="auto"/>
        <w:jc w:val="both"/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</w:pPr>
    </w:p>
    <w:p w:rsidR="007845C1" w:rsidRDefault="007845C1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7845C1" w:rsidRDefault="007845C1">
      <w:pPr>
        <w:spacing w:after="0" w:line="240" w:lineRule="auto"/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</w:p>
    <w:sectPr w:rsidR="007845C1">
      <w:pgSz w:w="11906" w:h="16838"/>
      <w:pgMar w:top="993" w:right="991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C1"/>
    <w:rsid w:val="000C7552"/>
    <w:rsid w:val="003B1932"/>
    <w:rsid w:val="007845C1"/>
    <w:rsid w:val="00D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2218"/>
  <w15:docId w15:val="{84E99CE9-6576-47B7-87A2-ACE7B27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Chamadanai Marknual</dc:creator>
  <cp:lastModifiedBy>Warin Trino</cp:lastModifiedBy>
  <cp:revision>2</cp:revision>
  <cp:lastPrinted>2023-06-08T01:04:00Z</cp:lastPrinted>
  <dcterms:created xsi:type="dcterms:W3CDTF">2023-06-08T05:38:00Z</dcterms:created>
  <dcterms:modified xsi:type="dcterms:W3CDTF">2023-06-08T05:38:00Z</dcterms:modified>
</cp:coreProperties>
</file>