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0B5D7DFA" w:rsidR="00293DA0" w:rsidRPr="002B3211" w:rsidRDefault="0022339B" w:rsidP="008058F3">
      <w:pPr>
        <w:pStyle w:val="NoSpacing"/>
        <w:rPr>
          <w:rFonts w:ascii="Cordia New" w:hAnsi="Cordia New" w:cs="Cordia New"/>
          <w:cs/>
        </w:rPr>
      </w:pPr>
      <w:r>
        <w:rPr>
          <w:rFonts w:ascii="Cordia New" w:hAnsi="Cordia New" w:cs="Cordia New"/>
          <w:noProof/>
          <w:lang w:val="th-TH"/>
        </w:rPr>
        <w:drawing>
          <wp:inline distT="0" distB="0" distL="0" distR="0" wp14:anchorId="1CB68CB4" wp14:editId="6EDC1B45">
            <wp:extent cx="5943600" cy="3960495"/>
            <wp:effectExtent l="0" t="0" r="0" b="1905"/>
            <wp:docPr id="2095447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47440" name="Picture 20954474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567CA2C0" w14:textId="77777777" w:rsidR="0022339B" w:rsidRPr="0022339B" w:rsidRDefault="0022339B" w:rsidP="0022339B">
      <w:pPr>
        <w:pStyle w:val="ListParagraph"/>
        <w:numPr>
          <w:ilvl w:val="0"/>
          <w:numId w:val="1"/>
        </w:numPr>
        <w:jc w:val="thaiDistribute"/>
        <w:rPr>
          <w:rFonts w:ascii="Cordia New" w:hAnsi="Cordia New" w:cs="Cordia New"/>
          <w:sz w:val="28"/>
        </w:rPr>
      </w:pPr>
      <w:r w:rsidRPr="0022339B">
        <w:rPr>
          <w:rFonts w:ascii="Cordia New" w:hAnsi="Cordia New" w:cs="Cordia New"/>
          <w:b/>
          <w:bCs/>
          <w:sz w:val="28"/>
          <w:cs/>
        </w:rPr>
        <w:t>กนง. มีมติเป็นเอกฉันท์ขึ้นอัตราดอกเบี้ยนโยบายร้อยละ 0.25 สู่ระดับร้อยละ 2.00 ต่อปี</w:t>
      </w:r>
      <w:r w:rsidRPr="0022339B">
        <w:rPr>
          <w:rFonts w:ascii="Cordia New" w:hAnsi="Cordia New" w:cs="Cordia New"/>
          <w:sz w:val="28"/>
          <w:cs/>
        </w:rPr>
        <w:t xml:space="preserve"> โดยมองว่าเศรษฐกิจมีแนวโน้มขยายตัวต่อเนื่องจากภาคการท่องเที่ยวและการบริโภคภาคเอกชน ขณะที่คาดว่าการส่งออกจะฟื้นตัวอย่างค่อยเป็นค่อยไป สำหรับอัตราเงินเฟ้อทั่วไปอาจปรับลดลง แต่ประเมินว่าอัตราเงินเฟ้อพื้นฐานยังทรงตัวสูง และมีความเสี่ยงด้านสูงจากแรงกดดันอุปสงค์และการส่งผ่านต้นทุนของผู้ประกอบการที่อาจปรับสูงขึ้น</w:t>
      </w:r>
    </w:p>
    <w:p w14:paraId="067C8CD9" w14:textId="77777777" w:rsidR="0022339B" w:rsidRPr="0022339B" w:rsidRDefault="0022339B" w:rsidP="0022339B">
      <w:pPr>
        <w:pStyle w:val="ListParagraph"/>
        <w:numPr>
          <w:ilvl w:val="0"/>
          <w:numId w:val="1"/>
        </w:numPr>
        <w:jc w:val="thaiDistribute"/>
        <w:rPr>
          <w:rFonts w:ascii="Cordia New" w:hAnsi="Cordia New" w:cs="Cordia New"/>
          <w:sz w:val="28"/>
          <w:cs/>
        </w:rPr>
      </w:pPr>
      <w:r w:rsidRPr="0022339B">
        <w:rPr>
          <w:rFonts w:ascii="Cordia New" w:hAnsi="Cordia New" w:cs="Cordia New"/>
          <w:b/>
          <w:bCs/>
          <w:sz w:val="28"/>
        </w:rPr>
        <w:t>Krungthai</w:t>
      </w:r>
      <w:r w:rsidRPr="0022339B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22339B">
        <w:rPr>
          <w:rFonts w:ascii="Cordia New" w:hAnsi="Cordia New" w:cs="Cordia New"/>
          <w:b/>
          <w:bCs/>
          <w:sz w:val="28"/>
        </w:rPr>
        <w:t>COMPASS</w:t>
      </w:r>
      <w:r w:rsidRPr="0022339B">
        <w:rPr>
          <w:rFonts w:ascii="Cordia New" w:hAnsi="Cordia New" w:cs="Cordia New"/>
          <w:b/>
          <w:bCs/>
          <w:sz w:val="28"/>
          <w:cs/>
        </w:rPr>
        <w:t xml:space="preserve"> ประเมินว่า กนง. มีโอกาสคงดอกเบี้ยในการประชุมครั้งถัดไป </w:t>
      </w:r>
      <w:r w:rsidRPr="0022339B">
        <w:rPr>
          <w:rFonts w:ascii="Cordia New" w:hAnsi="Cordia New" w:cs="Cordia New"/>
          <w:sz w:val="28"/>
          <w:cs/>
        </w:rPr>
        <w:t xml:space="preserve">เพื่อรอดูความชัดเจนของการจัดตั้งรัฐบาลและนโยบายทางเศรษฐกิจของภาครัฐ </w:t>
      </w:r>
      <w:r w:rsidRPr="0022339B">
        <w:rPr>
          <w:rFonts w:ascii="Cordia New" w:hAnsi="Cordia New" w:cs="Cordia New"/>
          <w:b/>
          <w:bCs/>
          <w:sz w:val="28"/>
          <w:cs/>
        </w:rPr>
        <w:t>และอาจมีการปรับขึ้นอัตราดอกเบี้ยอีก 1 ครั้ง สู่ระดับ 2.25</w:t>
      </w:r>
      <w:r w:rsidRPr="0022339B">
        <w:rPr>
          <w:rFonts w:ascii="Cordia New" w:hAnsi="Cordia New" w:cs="Cordia New"/>
          <w:b/>
          <w:bCs/>
          <w:sz w:val="28"/>
        </w:rPr>
        <w:t>%</w:t>
      </w:r>
      <w:r w:rsidRPr="0022339B">
        <w:rPr>
          <w:rFonts w:ascii="Cordia New" w:hAnsi="Cordia New" w:cs="Cordia New"/>
          <w:b/>
          <w:bCs/>
          <w:sz w:val="28"/>
          <w:cs/>
        </w:rPr>
        <w:t xml:space="preserve"> ในช่วงปลายปี </w:t>
      </w:r>
      <w:r w:rsidRPr="0022339B">
        <w:rPr>
          <w:rFonts w:ascii="Cordia New" w:hAnsi="Cordia New" w:cs="Cordia New"/>
          <w:sz w:val="28"/>
          <w:cs/>
        </w:rPr>
        <w:t>จากความกังวลต่ออัตราเงินเฟ้อพื้นฐานที่ยังทรงตัวอยู่ในระดับสูงและมีความเสี่ยงด้านสูง อีกทั้ง การฟื้นตัวของเศรษฐกิจไทยอาจเป็นปัจจัยหนุนต่อการปรับขึ้นอัตราดอกเบี้ยของ กนง.</w:t>
      </w: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74631F4E" w14:textId="77777777" w:rsidR="009A3759" w:rsidRDefault="009A3759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ฉมาดนัย มากนวล</w:t>
      </w:r>
    </w:p>
    <w:p w14:paraId="444F75A1" w14:textId="13425FD5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3E6C4638" w14:textId="18B3B4A7" w:rsid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กนง. มีมติเป็นเอกฉันท์ปรับขึ้นอัตราดอกเบี้ยนโยบายต่อเนื่องเป็นครั้งที่ 6 ติดต่อกัน สู่ร้อยละ 2.0 ต่อปี </w:t>
      </w:r>
    </w:p>
    <w:p w14:paraId="447F41DE" w14:textId="77777777" w:rsidR="0022339B" w:rsidRP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กนง. มีมติเป็นเอกฉันท์ปรับขึ้นอัตราดอกเบี้ยนโยบายร้อยละ 0.25 ต่อปี จากร้อยละ 1.75 เป็นร้อยละ 2.00 ต่อปี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ในการประชุมครั้งที่ 3/2566 โดยมีสาระสำคัญดังนี้</w:t>
      </w:r>
    </w:p>
    <w:p w14:paraId="4E561363" w14:textId="5FDD43CE" w:rsidR="0022339B" w:rsidRPr="0022339B" w:rsidRDefault="0022339B" w:rsidP="0022339B">
      <w:pPr>
        <w:numPr>
          <w:ilvl w:val="0"/>
          <w:numId w:val="26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เศรษฐกิจไทยมีแนวโน้มขยายตัวต่อเนื่องจากภาคการท่องเที่ยวและการบริโภคภาคเอกชนเป็นสำคัญ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ประเมินว่าเศรษฐกิจในปี 2566 และ 2567 มีแนวโน้มขยายตัวได้ที่ร้อยละ 3.6 และ 3.8 ตามลำดับ จากจำนวนนักท่องเที่ยวต่างชาติที่มีแนวโน้มเข้ามาถึง 29 ล้านคน และ 35.5 ล้านคน ตามลำดับ ซึ่งจะสนับสนุนการจ้างงานและรายได้แรงงาน และจะเป็นแรงส่งไปยังการบริโภคภาคเอกชน สำหรับการส่งออกทยอยฟื้นตัวใกล้เคียงกับที่ประเมินไว้และมีแนวโน้มขยายตัวได้ดีขึ้นในระยะต่อไป อย่างไรก็ตาม ต้องติดตามแนวโน้มเศรษฐกิจและการดำเนินนโยบายการเงินของประเทศเศรษฐกิจหลักที่ยังมีความไม่แน่นอน</w:t>
      </w:r>
    </w:p>
    <w:p w14:paraId="57328A37" w14:textId="7F268508" w:rsidR="0022339B" w:rsidRPr="0022339B" w:rsidRDefault="0022339B" w:rsidP="0022339B">
      <w:pPr>
        <w:numPr>
          <w:ilvl w:val="0"/>
          <w:numId w:val="26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3360" behindDoc="0" locked="0" layoutInCell="1" allowOverlap="1" wp14:anchorId="684BF0DF" wp14:editId="42188EE0">
            <wp:simplePos x="0" y="0"/>
            <wp:positionH relativeFrom="column">
              <wp:posOffset>45720</wp:posOffset>
            </wp:positionH>
            <wp:positionV relativeFrom="paragraph">
              <wp:posOffset>1348740</wp:posOffset>
            </wp:positionV>
            <wp:extent cx="5943600" cy="3352800"/>
            <wp:effectExtent l="0" t="0" r="0" b="0"/>
            <wp:wrapTopAndBottom/>
            <wp:docPr id="1606160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60392" name="Picture 16061603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อัตราเงินเฟ้อทั่วไปมีแนวโน้มทยอยปรับลดลง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คาดว่าอัตราเงินเฟ้อทั่วไปปี 2566 และ 2567 จะอยู่ที่ร้อยละ 2.5 และ 2.4 ตามลำดับ จากค่าไฟฟ้าและราคาน้ำมันที่ทยอยคลี่คลาย ส่งผลให้อัตราเงินเฟ้อทั่วไปปรับลดลงเข้าสู่กรอบเป้าหมาย ขณะที่อัตราเงินเฟ้อพื้นฐานมีแนวโน้มทรงตัวที่ร้อยละ 2.0 ในปี 2566 และ 2567 ซึ่งอยู่ในระดับสูงเทียบกับอดีต อย่างไรก็ตาม อัตราเงินเฟ้อมีความเสี่ยงด้านสูงจากแรงกดดันด้านอุปสงค์จากเศรษฐกิจขยายตัวดี และการส่งผ่านต้นทุนผู้ประกอบการอาจปรับสูงขึ้นจากแรงกดดันด้านอุปทาน</w:t>
      </w:r>
    </w:p>
    <w:p w14:paraId="788C4994" w14:textId="4DB04A7D" w:rsidR="0022339B" w:rsidRP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A69AE33" w14:textId="22B06127" w:rsidR="00542E35" w:rsidRDefault="00542E35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3CA8C21" w14:textId="77777777" w:rsid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  <w:sectPr w:rsidR="0022339B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5A31D5A8" w14:textId="0857C8F1" w:rsidR="0022339B" w:rsidRPr="0022339B" w:rsidRDefault="0022339B" w:rsidP="0022339B">
      <w:pPr>
        <w:numPr>
          <w:ilvl w:val="0"/>
          <w:numId w:val="2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มาตรการปรับโครงสร้างหนี้ควรดำเนินการอย่างต่อเนื่อง รวมทั้งเห็นความสำคัญของการมีมาตรการเฉพาะจุดและแนวทางแก้ปัญหาหนี้อย่างยั่งยืนสำหรับกลุ่มเปราะบาง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แม้ว่าความสามารถในการชำระหนี้ของภาคธุรกิจและภาคครัวเรือนปรับดีขึ้นตามการฟื้นตัวของเศรษฐกิจ แต่ฐานะการเงินของผู้ประกอบการ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SMEs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และครัวเรือนบางส่วนยังเปราะบางและอ่อนไหวต่อค่าครองชีพและภาระหนี้ที่สูงขึ้น ด้านธนาคารพาณิชย์มีระดับเงินกองทุนและเงินสำรองที่เข้มแข็ง</w:t>
      </w:r>
    </w:p>
    <w:p w14:paraId="44DE6E9D" w14:textId="62C87039" w:rsidR="0022339B" w:rsidRPr="0022339B" w:rsidRDefault="0022339B" w:rsidP="0022339B">
      <w:pPr>
        <w:numPr>
          <w:ilvl w:val="0"/>
          <w:numId w:val="27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4384" behindDoc="0" locked="0" layoutInCell="1" allowOverlap="1" wp14:anchorId="21DF80E9" wp14:editId="1F16A6BE">
            <wp:simplePos x="0" y="0"/>
            <wp:positionH relativeFrom="column">
              <wp:posOffset>0</wp:posOffset>
            </wp:positionH>
            <wp:positionV relativeFrom="paragraph">
              <wp:posOffset>1102360</wp:posOffset>
            </wp:positionV>
            <wp:extent cx="5943600" cy="3657600"/>
            <wp:effectExtent l="0" t="0" r="0" b="0"/>
            <wp:wrapTopAndBottom/>
            <wp:docPr id="1385401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01579" name="Picture 13854015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ภาวะการเงินตึงตัวขึ้นสอดคล้องกับการขึ้นอัตราดอกเบี้ยนโยบาย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ต้นทุนการกู้ยืมของภาคเอกชนปรับสูงขึ้น แต่ยังไม่เป็นอุปสรรคต่อการระดมทุนของภาคเอกชนและการฟื้นตัวของเศรษฐกิจ ขณะที่อัตราแลกเปลี่ยนเงินบาทเทียบดอลลาร์ สรอ. ปรับอ่อนค่าจากทิศทางนโยบายการเงินของธนาคารกลางสหรัฐฯ  การอ่อนค่าของเงินหยวน และความไม่แน่นอนทางการเมืองของไทย</w:t>
      </w:r>
    </w:p>
    <w:p w14:paraId="0C71DD14" w14:textId="36B2B5BA" w:rsid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281AA748" w14:textId="77777777" w:rsid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  <w:sectPr w:rsidR="0022339B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22FC3D3A" w14:textId="264D4F35" w:rsid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</w:t>
      </w:r>
      <w:r>
        <w:rPr>
          <w:rFonts w:ascii="Cordia New" w:eastAsiaTheme="minorEastAsia" w:hAnsi="Cordia New" w:cs="Cordia New"/>
          <w:color w:val="000000" w:themeColor="text1"/>
          <w:kern w:val="24"/>
          <w:sz w:val="28"/>
        </w:rPr>
        <w:t>:</w:t>
      </w:r>
    </w:p>
    <w:p w14:paraId="1B5FAF05" w14:textId="361B070F" w:rsidR="0022339B" w:rsidRPr="0022339B" w:rsidRDefault="0022339B" w:rsidP="0022339B">
      <w:pPr>
        <w:numPr>
          <w:ilvl w:val="0"/>
          <w:numId w:val="28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Krungthai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COMPASS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คาดว่า กนง. มีแนวโน้มคงอัตราดอกเบี้ยในการประชุมครั้งถัดไป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กนง. ได้ปรับขึ้นอัตราดอกเบี้ยนโยบายติดต่อกัน 6 ครั้ง จากระดับ 0.50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สู่ระดับ 2.0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ต่อปี เพื่อสกัดเงินเฟ้อที่อยู่สูงกว่ากรอบเป้าหมายและสูงสุดในรอบ 14 ปี อย่างไรก็ดี อัตราเงินเฟ้อทั่วไปได้ชะลอลงต่อเนื่อง โดยล่าสุดอยู่ที่ระดับ 2.67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ในเดือน เม.ย. 66 และคาดว่าในระยะข้างหน้าอัตราเงินเฟ้อทั่วไปจะอยู่ต่ำกว่ากรอบบนของเป้าหมายเงินเฟ้อที่ 3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%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สอดคล้องกับมุมมองของ กนง. ล่าสุดที่มองว่าอัตราเงินเฟ้อทั่วไปในปีนี้จะอยู่ที่ 2.5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จึงสะท้อนแรงกดดันด้านเงินเฟ้อที่ทยอยลดลงและอาจเป็นปัจจัยหนุนให้ 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กนง. คงอัตราดอกเบี้ยในการประชุมครั้งถัดไปในเดือน ส.ค. เพื่อรอดูความชัดเจนของการจัดตั้งรัฐบาล และนโยบายทางเศรษฐกิจของภาครัฐ ซึ่งจะเป็นปัจจัยที่มีผลต่อการฟื้นตัวของเศรษฐกิจในระยะข้างหน้า </w:t>
      </w:r>
    </w:p>
    <w:p w14:paraId="40CA1534" w14:textId="670586F0" w:rsidR="0022339B" w:rsidRPr="0022339B" w:rsidRDefault="0022339B" w:rsidP="0022339B">
      <w:pPr>
        <w:numPr>
          <w:ilvl w:val="0"/>
          <w:numId w:val="28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5408" behindDoc="0" locked="0" layoutInCell="1" allowOverlap="1" wp14:anchorId="7C928E8E" wp14:editId="7B587AB2">
            <wp:simplePos x="0" y="0"/>
            <wp:positionH relativeFrom="column">
              <wp:posOffset>495300</wp:posOffset>
            </wp:positionH>
            <wp:positionV relativeFrom="paragraph">
              <wp:posOffset>1960880</wp:posOffset>
            </wp:positionV>
            <wp:extent cx="4206240" cy="3304032"/>
            <wp:effectExtent l="0" t="0" r="3810" b="0"/>
            <wp:wrapTopAndBottom/>
            <wp:docPr id="9422557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55758" name="Picture 94225575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Krungthai COMPASS 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ประเมินว่าอัตราดอกเบี้ยขาขึ้นยังไม่สิ้นสุด 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แม้ว่าอัตราเงินเฟ้อทั่วไปจะมีแนวโน้มลดลง แต่ กนง. คาดว่าอัตราเงินเฟ้อพื้นฐานจะทรงตัวอยู่ในระดับสูงที่ 2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.0%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ในปี 2566 และ 2567 ซึ่งเรามองว่า กนง. จะให้ความสำคัญกับอัตราเงินเฟ้อพื้นฐานมากขึ้นเนื่องจากสะท้อนสัดส่วนราคาที่ผู้บริโภคใช้จ่ายถึง 67.1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22339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ของตะกร้าเงินเฟ้อ นอกจากนี้ กนง. กล่าวว่าอัตราเงินเฟ้อมีความเสี่ยงด้านสูงจากแรงหนุนด้านอุปสงค์ตามเศรษฐกิจที่ขยายตัวดี และการส่งผ่านต้นทุนของผู้ประกอบการที่อาจเพิ่มขึ้นจากแรงกดดันด้านอุปทาน ซึ่งขึ้นอยู่กับนโยบายเศรษฐกิจของภาครัฐในระยะข้างหน้า อีกทั้งเศรษฐกิจไทยมีความเสี่ยงด้านสูงเช่นกัน 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จึงเป็นไปได้ว่าหากการจัดตั้งรัฐบาลเป็นไปอย่างเรียบร้อย กนง. มีโอกาสปรับเพิ่มอัตราดอกเบี้ยนโยบายอีก 1 ครั้ง สู่ระดับ 2.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25%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ต่อปี ในช่วงปลายปี </w:t>
      </w:r>
      <w:r w:rsidRPr="0022339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2566</w:t>
      </w:r>
    </w:p>
    <w:p w14:paraId="1DCEFB84" w14:textId="3CC37955" w:rsidR="0022339B" w:rsidRDefault="0022339B" w:rsidP="0022339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sectPr w:rsidR="0022339B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635A" w14:textId="77777777" w:rsidR="00BF7072" w:rsidRDefault="00BF7072" w:rsidP="00DE657B">
      <w:pPr>
        <w:spacing w:after="0" w:line="240" w:lineRule="auto"/>
      </w:pPr>
      <w:r>
        <w:separator/>
      </w:r>
    </w:p>
  </w:endnote>
  <w:endnote w:type="continuationSeparator" w:id="0">
    <w:p w14:paraId="2847A756" w14:textId="77777777" w:rsidR="00BF7072" w:rsidRDefault="00BF7072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368F" w14:textId="77777777" w:rsidR="00BF7072" w:rsidRDefault="00BF7072" w:rsidP="00DE657B">
      <w:pPr>
        <w:spacing w:after="0" w:line="240" w:lineRule="auto"/>
      </w:pPr>
      <w:r>
        <w:separator/>
      </w:r>
    </w:p>
  </w:footnote>
  <w:footnote w:type="continuationSeparator" w:id="0">
    <w:p w14:paraId="6FA88B6A" w14:textId="77777777" w:rsidR="00BF7072" w:rsidRDefault="00BF7072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BF"/>
    <w:multiLevelType w:val="hybridMultilevel"/>
    <w:tmpl w:val="6E2E4948"/>
    <w:lvl w:ilvl="0" w:tplc="E418EE6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612218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646F7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A5C62C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7A353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B0AF2A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0810E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056DBC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00C2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90D6BC8"/>
    <w:multiLevelType w:val="hybridMultilevel"/>
    <w:tmpl w:val="589E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162"/>
    <w:multiLevelType w:val="hybridMultilevel"/>
    <w:tmpl w:val="13BC4FD2"/>
    <w:lvl w:ilvl="0" w:tplc="9D02E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CA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EA8D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5C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B1A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46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F6E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B76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E4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0DD3123"/>
    <w:multiLevelType w:val="hybridMultilevel"/>
    <w:tmpl w:val="9FC615EA"/>
    <w:lvl w:ilvl="0" w:tplc="10108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78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8C3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90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60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D8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B6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14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1CE5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6BD0A35"/>
    <w:multiLevelType w:val="hybridMultilevel"/>
    <w:tmpl w:val="A9EA0498"/>
    <w:lvl w:ilvl="0" w:tplc="7CBA50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8B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C8F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AA000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88C7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A72C7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7AD98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96F2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66E2D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E752F67"/>
    <w:multiLevelType w:val="hybridMultilevel"/>
    <w:tmpl w:val="589E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CA1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D8384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87A5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638668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38F73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9C9D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EE663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DE5A2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297D4CF8"/>
    <w:multiLevelType w:val="hybridMultilevel"/>
    <w:tmpl w:val="13B0B63E"/>
    <w:lvl w:ilvl="0" w:tplc="F934E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758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AA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A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9D8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A8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92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A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5E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9A13FB1"/>
    <w:multiLevelType w:val="hybridMultilevel"/>
    <w:tmpl w:val="251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0619"/>
    <w:multiLevelType w:val="hybridMultilevel"/>
    <w:tmpl w:val="2C2AA1AE"/>
    <w:lvl w:ilvl="0" w:tplc="3110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28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294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06D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B8B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C14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B4C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E0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7C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488055A"/>
    <w:multiLevelType w:val="hybridMultilevel"/>
    <w:tmpl w:val="FA34499C"/>
    <w:lvl w:ilvl="0" w:tplc="57D4EA8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5C49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7AE3C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4A06B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E2617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88E6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28506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E8AAF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2945A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364D5B6F"/>
    <w:multiLevelType w:val="hybridMultilevel"/>
    <w:tmpl w:val="149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B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D892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88071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E4218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C036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C0414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1E07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FE6D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38DD2989"/>
    <w:multiLevelType w:val="hybridMultilevel"/>
    <w:tmpl w:val="6F440A06"/>
    <w:lvl w:ilvl="0" w:tplc="0174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F6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6C4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80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C2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7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60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6C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480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3F3C3206"/>
    <w:multiLevelType w:val="hybridMultilevel"/>
    <w:tmpl w:val="FEF2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E6EF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45C2D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5EA444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A8827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C7C978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25069D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93EB33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3698D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3F4877AE"/>
    <w:multiLevelType w:val="hybridMultilevel"/>
    <w:tmpl w:val="4BD815BE"/>
    <w:lvl w:ilvl="0" w:tplc="8B162F9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EBE6A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1C8441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79CCC2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9802E7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2E6A2E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A322E4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AAFC8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C7AE17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 w15:restartNumberingAfterBreak="0">
    <w:nsid w:val="452B5125"/>
    <w:multiLevelType w:val="hybridMultilevel"/>
    <w:tmpl w:val="547CB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E89A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10DDE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F835B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F4C23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FE933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B241D4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DC214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E06D2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46A20729"/>
    <w:multiLevelType w:val="hybridMultilevel"/>
    <w:tmpl w:val="AE8C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C0BB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5EE46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BCD76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186F7F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DF4726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3A49A1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0527D7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31EA65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4FF5239C"/>
    <w:multiLevelType w:val="hybridMultilevel"/>
    <w:tmpl w:val="98F2191E"/>
    <w:lvl w:ilvl="0" w:tplc="DFA8D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ECE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D4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88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D8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8F8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1A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A48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8A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0" w15:restartNumberingAfterBreak="0">
    <w:nsid w:val="638406A3"/>
    <w:multiLevelType w:val="hybridMultilevel"/>
    <w:tmpl w:val="844E426C"/>
    <w:lvl w:ilvl="0" w:tplc="BB0062B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2D8638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D861E7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B0288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6F61ED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476A6E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BC1AC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B8AC83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DAE6FA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6D0F394E"/>
    <w:multiLevelType w:val="hybridMultilevel"/>
    <w:tmpl w:val="44480570"/>
    <w:lvl w:ilvl="0" w:tplc="F328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348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C2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44B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F2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B88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604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166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9A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72D7762E"/>
    <w:multiLevelType w:val="hybridMultilevel"/>
    <w:tmpl w:val="0412A1CC"/>
    <w:lvl w:ilvl="0" w:tplc="8F3A4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F68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BA6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D382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00B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BC1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674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55A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24C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74663092"/>
    <w:multiLevelType w:val="hybridMultilevel"/>
    <w:tmpl w:val="FC12DBDC"/>
    <w:lvl w:ilvl="0" w:tplc="0EFC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460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CB8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B09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4AEE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18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DAE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B1C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8F8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7D2F52B6"/>
    <w:multiLevelType w:val="hybridMultilevel"/>
    <w:tmpl w:val="A69C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8209B"/>
    <w:multiLevelType w:val="hybridMultilevel"/>
    <w:tmpl w:val="4B80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06085"/>
    <w:multiLevelType w:val="hybridMultilevel"/>
    <w:tmpl w:val="3A44C606"/>
    <w:lvl w:ilvl="0" w:tplc="55E818A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64AE6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9C2A3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48E6D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4206D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2FCE93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81CA2D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CE434D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546F0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628244568">
    <w:abstractNumId w:val="19"/>
  </w:num>
  <w:num w:numId="2" w16cid:durableId="1377467415">
    <w:abstractNumId w:val="18"/>
  </w:num>
  <w:num w:numId="3" w16cid:durableId="693961786">
    <w:abstractNumId w:val="14"/>
  </w:num>
  <w:num w:numId="4" w16cid:durableId="1530139745">
    <w:abstractNumId w:val="21"/>
  </w:num>
  <w:num w:numId="5" w16cid:durableId="1258127116">
    <w:abstractNumId w:val="9"/>
  </w:num>
  <w:num w:numId="6" w16cid:durableId="278877397">
    <w:abstractNumId w:val="10"/>
  </w:num>
  <w:num w:numId="7" w16cid:durableId="596980505">
    <w:abstractNumId w:val="5"/>
  </w:num>
  <w:num w:numId="8" w16cid:durableId="1776367502">
    <w:abstractNumId w:val="4"/>
  </w:num>
  <w:num w:numId="9" w16cid:durableId="1589919174">
    <w:abstractNumId w:val="27"/>
  </w:num>
  <w:num w:numId="10" w16cid:durableId="90324512">
    <w:abstractNumId w:val="16"/>
  </w:num>
  <w:num w:numId="11" w16cid:durableId="1385830458">
    <w:abstractNumId w:val="12"/>
  </w:num>
  <w:num w:numId="12" w16cid:durableId="68305955">
    <w:abstractNumId w:val="15"/>
  </w:num>
  <w:num w:numId="13" w16cid:durableId="1322467147">
    <w:abstractNumId w:val="0"/>
  </w:num>
  <w:num w:numId="14" w16cid:durableId="122234989">
    <w:abstractNumId w:val="17"/>
  </w:num>
  <w:num w:numId="15" w16cid:durableId="911163132">
    <w:abstractNumId w:val="11"/>
  </w:num>
  <w:num w:numId="16" w16cid:durableId="1367753610">
    <w:abstractNumId w:val="13"/>
  </w:num>
  <w:num w:numId="17" w16cid:durableId="2073576414">
    <w:abstractNumId w:val="24"/>
  </w:num>
  <w:num w:numId="18" w16cid:durableId="1685936421">
    <w:abstractNumId w:val="6"/>
  </w:num>
  <w:num w:numId="19" w16cid:durableId="1354958874">
    <w:abstractNumId w:val="8"/>
  </w:num>
  <w:num w:numId="20" w16cid:durableId="78185682">
    <w:abstractNumId w:val="1"/>
  </w:num>
  <w:num w:numId="21" w16cid:durableId="623971129">
    <w:abstractNumId w:val="2"/>
  </w:num>
  <w:num w:numId="22" w16cid:durableId="357050093">
    <w:abstractNumId w:val="26"/>
  </w:num>
  <w:num w:numId="23" w16cid:durableId="1603806900">
    <w:abstractNumId w:val="25"/>
  </w:num>
  <w:num w:numId="24" w16cid:durableId="692650017">
    <w:abstractNumId w:val="7"/>
  </w:num>
  <w:num w:numId="25" w16cid:durableId="1695836729">
    <w:abstractNumId w:val="20"/>
  </w:num>
  <w:num w:numId="26" w16cid:durableId="1412922066">
    <w:abstractNumId w:val="22"/>
  </w:num>
  <w:num w:numId="27" w16cid:durableId="1779064700">
    <w:abstractNumId w:val="3"/>
  </w:num>
  <w:num w:numId="28" w16cid:durableId="101272947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17D96"/>
    <w:rsid w:val="001439F5"/>
    <w:rsid w:val="00146E1D"/>
    <w:rsid w:val="001634A5"/>
    <w:rsid w:val="00177E26"/>
    <w:rsid w:val="001A3315"/>
    <w:rsid w:val="001B77A2"/>
    <w:rsid w:val="001C5592"/>
    <w:rsid w:val="0022339B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77"/>
    <w:rsid w:val="003C20D1"/>
    <w:rsid w:val="0042132A"/>
    <w:rsid w:val="00435A40"/>
    <w:rsid w:val="00455ABD"/>
    <w:rsid w:val="00485172"/>
    <w:rsid w:val="004E6FDF"/>
    <w:rsid w:val="004F29F1"/>
    <w:rsid w:val="004F64D8"/>
    <w:rsid w:val="00524452"/>
    <w:rsid w:val="005339EE"/>
    <w:rsid w:val="00542E35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8E359F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A3759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072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159A"/>
    <w:rsid w:val="00E4244C"/>
    <w:rsid w:val="00E545C5"/>
    <w:rsid w:val="00E569C2"/>
    <w:rsid w:val="00E70B34"/>
    <w:rsid w:val="00EA7631"/>
    <w:rsid w:val="00EB763D"/>
    <w:rsid w:val="00EE0C46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0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6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6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93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8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79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34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85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9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9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2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20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8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2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3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1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1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79</cp:revision>
  <dcterms:created xsi:type="dcterms:W3CDTF">2021-07-07T06:15:00Z</dcterms:created>
  <dcterms:modified xsi:type="dcterms:W3CDTF">2023-06-01T02:42:00Z</dcterms:modified>
</cp:coreProperties>
</file>