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CE" w:rsidRPr="00897905" w:rsidRDefault="0094497E" w:rsidP="00897905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sz w:val="32"/>
          <w:szCs w:val="32"/>
        </w:rPr>
      </w:pPr>
      <w:r w:rsidRPr="00897905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-375285</wp:posOffset>
            </wp:positionV>
            <wp:extent cx="2085975" cy="647700"/>
            <wp:effectExtent l="19050" t="0" r="952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79E9" w:rsidRPr="00897905" w:rsidRDefault="0022615C" w:rsidP="00897905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  <w:r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       </w:t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ที่</w:t>
      </w:r>
      <w:proofErr w:type="spellStart"/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ปส</w:t>
      </w:r>
      <w:proofErr w:type="spellEnd"/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. </w:t>
      </w:r>
      <w:r w:rsidR="004823C3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0</w:t>
      </w:r>
      <w:r w:rsidR="00455427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</w:t>
      </w:r>
      <w:r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9</w:t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/256</w:t>
      </w:r>
      <w:r w:rsidR="00455427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6</w:t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  </w:t>
      </w:r>
      <w:r w:rsid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                          </w:t>
      </w:r>
      <w:r w:rsidR="00DC4358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วัน</w:t>
      </w:r>
      <w:r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ที่</w:t>
      </w:r>
      <w:r w:rsidR="006B3175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B3175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</w:t>
      </w:r>
      <w:r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4</w:t>
      </w:r>
      <w:r w:rsidR="006B3175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</w:t>
      </w:r>
      <w:r w:rsidR="00655435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เมษายน</w:t>
      </w:r>
      <w:r w:rsidR="00905DFC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256</w:t>
      </w:r>
      <w:r w:rsidR="00655435" w:rsidRPr="00897905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6</w:t>
      </w:r>
    </w:p>
    <w:p w:rsidR="00F7192C" w:rsidRPr="00897905" w:rsidRDefault="006B3175" w:rsidP="00897905">
      <w:pPr>
        <w:tabs>
          <w:tab w:val="left" w:pos="1035"/>
        </w:tabs>
        <w:spacing w:after="0" w:line="20" w:lineRule="atLeast"/>
        <w:ind w:left="1" w:hanging="3"/>
        <w:rPr>
          <w:rFonts w:asciiTheme="majorBidi" w:hAnsiTheme="majorBidi" w:cstheme="majorBidi"/>
          <w:sz w:val="16"/>
          <w:szCs w:val="16"/>
        </w:rPr>
      </w:pPr>
      <w:r w:rsidRPr="00897905">
        <w:rPr>
          <w:rFonts w:asciiTheme="majorBidi" w:hAnsiTheme="majorBidi" w:cstheme="majorBidi"/>
          <w:sz w:val="32"/>
          <w:szCs w:val="32"/>
          <w:cs/>
        </w:rPr>
        <w:tab/>
      </w:r>
      <w:r w:rsidRPr="00897905">
        <w:rPr>
          <w:rFonts w:asciiTheme="majorBidi" w:hAnsiTheme="majorBidi" w:cstheme="majorBidi"/>
          <w:sz w:val="32"/>
          <w:szCs w:val="32"/>
        </w:rPr>
        <w:tab/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1" w:firstLineChars="0" w:hanging="3"/>
        <w:jc w:val="center"/>
        <w:textDirection w:val="lrTb"/>
        <w:textAlignment w:val="auto"/>
        <w:outlineLvl w:val="9"/>
        <w:rPr>
          <w:rFonts w:asciiTheme="majorBidi" w:eastAsia="Times New Roman" w:hAnsiTheme="majorBidi" w:cstheme="majorBidi"/>
          <w:b/>
          <w:bCs/>
          <w:position w:val="0"/>
          <w:sz w:val="36"/>
          <w:szCs w:val="36"/>
        </w:rPr>
      </w:pP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</w:rPr>
        <w:t>“</w:t>
      </w: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>ไอแบงก์</w:t>
      </w: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</w:rPr>
        <w:t xml:space="preserve">” </w:t>
      </w: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 xml:space="preserve">แถลงทิศทางธุรกิจ ครบรอบ </w:t>
      </w: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</w:rPr>
        <w:t xml:space="preserve">20 </w:t>
      </w: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>ปี</w:t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1" w:firstLineChars="0" w:hanging="3"/>
        <w:jc w:val="center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6"/>
          <w:szCs w:val="36"/>
        </w:rPr>
      </w:pPr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>เป็นสถาบันการเงินที่ยึดหลักชะรี</w:t>
      </w:r>
      <w:proofErr w:type="spellStart"/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>อะฮ์</w:t>
      </w:r>
      <w:proofErr w:type="spellEnd"/>
      <w:r w:rsidRPr="00897905">
        <w:rPr>
          <w:rFonts w:asciiTheme="majorBidi" w:eastAsia="Times New Roman" w:hAnsiTheme="majorBidi" w:cstheme="majorBidi"/>
          <w:b/>
          <w:bCs/>
          <w:position w:val="0"/>
          <w:sz w:val="36"/>
          <w:szCs w:val="36"/>
          <w:cs/>
        </w:rPr>
        <w:t xml:space="preserve"> เพื่อความยั่งยืน</w:t>
      </w:r>
    </w:p>
    <w:p w:rsidR="0022615C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1" w:firstLineChars="0" w:hanging="3"/>
        <w:jc w:val="center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24"/>
          <w:szCs w:val="24"/>
        </w:rPr>
      </w:pPr>
      <w:r w:rsidRPr="00897905">
        <w:rPr>
          <w:rFonts w:asciiTheme="majorBidi" w:eastAsia="Times New Roman" w:hAnsiTheme="majorBidi" w:cstheme="majorBidi"/>
          <w:position w:val="0"/>
          <w:sz w:val="24"/>
          <w:szCs w:val="24"/>
        </w:rPr>
        <w:t>______________________________________________</w:t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700"/>
        <w:jc w:val="both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20"/>
          <w:szCs w:val="20"/>
        </w:rPr>
      </w:pPr>
      <w:r w:rsidRPr="00897905">
        <w:rPr>
          <w:rFonts w:asciiTheme="majorBidi" w:eastAsia="Times New Roman" w:hAnsiTheme="majorBidi" w:cstheme="majorBidi"/>
          <w:b/>
          <w:bCs/>
          <w:color w:val="000000"/>
          <w:position w:val="0"/>
          <w:sz w:val="32"/>
          <w:szCs w:val="32"/>
        </w:rPr>
        <w:t> </w:t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spacing w:val="2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  <w:cs/>
        </w:rPr>
        <w:t>วันนี้  (</w:t>
      </w: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</w:rPr>
        <w:t xml:space="preserve">24 </w:t>
      </w: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  <w:cs/>
        </w:rPr>
        <w:t xml:space="preserve">เมษายน </w:t>
      </w: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</w:rPr>
        <w:t xml:space="preserve">2566) </w:t>
      </w: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  <w:cs/>
        </w:rPr>
        <w:t xml:space="preserve">  ธนาคารอิสลามแห่งประเทศไทย   (ไอแบงก์)   โดย</w:t>
      </w:r>
      <w:r w:rsidRPr="00897905">
        <w:rPr>
          <w:rFonts w:asciiTheme="majorBidi" w:eastAsia="Times New Roman" w:hAnsiTheme="majorBidi" w:cstheme="majorBidi"/>
          <w:color w:val="000000"/>
          <w:spacing w:val="-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-2"/>
          <w:position w:val="0"/>
          <w:sz w:val="32"/>
          <w:szCs w:val="32"/>
          <w:cs/>
        </w:rPr>
        <w:t>ดร.ทวีลาภ ฤทธาภิรมย์ กรรมการและผู้จัดการ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พร้อมคณะผู้บริหาร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> 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แถลงข่าวประกาศ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“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ทิศทางธุรกิจของไอแบงก์ ปี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2566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เนื่องในวาระครบรอบ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20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ปีของธนาคาร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”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พร้อมเดินหน้าขยายสินเชื่อ ลดหนี้เสีย และการดำเนินงาน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ต่างๆ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 ที่จะเกิดขึ้นในปี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2566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เพื่อนำไปสู่วิสัยทัศน์การเป็นสถาบันการเงินที่ให้บริการตามหลักชะรี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อะฮ์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เพื่อความยั่งยืน ณ โรงแรม 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อัล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 มีรอซ รามคำแหง ซอย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5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กรุงเทพฯ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>  </w:t>
      </w:r>
    </w:p>
    <w:p w:rsidR="00897905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12"/>
          <w:szCs w:val="12"/>
        </w:rPr>
      </w:pP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spacing w:val="2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ดร.ทวีลาภ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</w:rPr>
        <w:t> 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เปิดเผยว่า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หลังจากที่ได้เข้ามารับตำแหน่งกรรมการและผู้จัดการไอแบงก์ เมื่อวันที่ </w:t>
      </w:r>
      <w:r w:rsid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      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1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มกราคม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2566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ที่ผ่านมา ก็ได้รับมอบหมายจากคณะกรรมการธนาคารให้ทบทวนแผนยุทธศาสตร์ธนาคาร ซึ่งประกอบด้วยทิศทางการดำเนินงานในระยะยาว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5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ปี และระยะสั้นหรือเร่งด่วนของปี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2566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จึงได้นำเสนอแผนดังกล่าวต่อคณะกรรมการธนาคารและหน่วยงานกำกับดูแล โดยปรับวิสัยทัศน์ของธนาคารใหม่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</w:rPr>
        <w:t>“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เป็นสถาบันการเงินที่ให้บริการตามหลักชะรี</w:t>
      </w:r>
      <w:proofErr w:type="spellStart"/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อะฮ์</w:t>
      </w:r>
      <w:proofErr w:type="spellEnd"/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เพื่อความยั่งยืน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</w:rPr>
        <w:t>”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เพื่อยกระดับการบริการทางการเงินของธนาคารให้เท่าเทียมสถาบันการอื่น ยึดมั่นในหลักธรรมอิสลามหรือหลักชะรี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อะฮ์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 ซึ่งเป็นประโยชน์กับทุก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ศาสนิก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 ตลอดจนดำเนินธุรกิจด้วยความรับผิดชอบต่อสิ่งแวดล้อม สังคม และอยู่ภายใต้หลักธรรมา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ภิ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บาลที่ดี โดยเมื่อช่วงเช้าได้มีการชี้แจงแนวทางการดำเนินงานภายใต้วิสัยทัศน์ใหม่ให้แก่ผู้บริหารสาขาทั่วประเทศให้รับทราบโดยทั่วกัน พร้อมทั้งคณะกรรมการธนาคารนำโดยประธานกรรมการ (นายภูมิศักดิ์ อรัญญาเกษมสุข) เข้าร่วมมอบนโยบายในครั้งนี้ด้วย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> </w:t>
      </w:r>
    </w:p>
    <w:p w:rsidR="00897905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00000"/>
          <w:spacing w:val="2"/>
          <w:position w:val="0"/>
          <w:sz w:val="12"/>
          <w:szCs w:val="12"/>
        </w:rPr>
      </w:pP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spacing w:val="2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โดย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แผนยุทธศาสตร์ด้านพันธกิจ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 xml:space="preserve">มุ่งเน้นกลยุทธ์ในการสร้างสรรค์ผลิตภัณฑ์ภายใต้แนวคิด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ESG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คำนึงถึงสิ่งแวดล้อมและสังคม ตอบโจทย์ความยั่งยืน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 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สามารถเข้าถึงกลุ่มเป้าหมายหลักซึ่งเป็นพี่น้องมุสลิมและลูกค้าทั่วไป อาทิเช่น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สินเชื่อบ้านมีหนี้ลด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เป็นการช่วยเหลือลูกค้าลดภาระการผ่อนชำระหนี้ด้วยการรวมหนี้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ต่างๆ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ไม่ว่าจะเป็นหนี้บัตรเครดิตหรือหนี้บุคคลเข้ากับหนี้ที่อยู่อาศัย ทำให้ลูกค้าสามารถผ่อนชำระในอัตราย่อมเยาและระยะเวลายาวนานขึ้น เสมือนมีรายได้คืนมาบางส่วน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โครงการชุมชนซื่อสัตย์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เป็นสินเชื่อเพื่อช่วยเหลือพี่น้องมุสลิมระดับฐานรากให้หลุดพ้นหนี้นอกระบบกลับมาอยู่ในระบบสถาบันการเงิน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 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นอกจากนี้ยังมี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สินเชื่อธุรกิจฮาลา</w:t>
      </w:r>
      <w:proofErr w:type="spellStart"/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ลคร</w:t>
      </w:r>
      <w:proofErr w:type="spellEnd"/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  <w:cs/>
        </w:rPr>
        <w:t>บวงจร</w:t>
      </w:r>
      <w:r w:rsidRPr="00897905">
        <w:rPr>
          <w:rFonts w:asciiTheme="majorBidi" w:eastAsia="Times New Roman" w:hAnsiTheme="majorBidi" w:cstheme="majorBidi"/>
          <w:b/>
          <w:bCs/>
          <w:color w:val="000000"/>
          <w:spacing w:val="2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จะสนับสนุนผู้ประกอบการที่สนใจในตลาดธุรกิจฮาลาลแต่ยังขาดแหล่งทุน ขาดความรู้ความเข้าใจ เพื่อส่งเสริมต่อยอดให้เป็นผู้ประกอบการฮาลาลเต็มรูปแบบได้ สำหรับผู้ประกอบที่มีธุรกิจฮาลา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ลอยู่</w:t>
      </w:r>
      <w:proofErr w:type="spellEnd"/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แล้ว ไอแบงก์จับมือกับพันธมิตรหลายภาคส่วน ในการเพิ่มศักยภาพยกระดับสินค้าของผู้ประกอบการให้สามารถส่งออกไปนานาประเทศได้ ตลอดจนช่วยพัฒนาเป็นสินค้าฮาลาลเพื่อสังคมและยั่งยืน ด้านการสนับสนุนนโยบายภาครัฐที่มีแนวทางการพัฒนาภาคใต้ผ่านการพัฒนาระเบียงเศรษฐกิจพิเศษภาคใต้การพัฒนาเขตเศรษฐกิจพิเศษชายแดนเพื่อแก้ไขปัญหาเศรษฐกิจในพื้นที่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lastRenderedPageBreak/>
        <w:t xml:space="preserve">จังหวัดชายแดนภาคใต้นั้น ธนาคารยังคงดำเนินการขับเคลื่อนการเข้าถึงบริการทางการเงินให้ประชาชนในพื้นที่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5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จังหวัดชายแดนใต้ให้มีแหล่งทุนในการประกอบอาชีพ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 xml:space="preserve">  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  <w:cs/>
        </w:rPr>
        <w:t>นอกเหนือจากการพึ่งพิงการเกษตรและประมงซึ่งเป็นอาชีพที่มีความผันผวนสูงและสร้างรายได้ครัวเรือนต่ำ โดยมีแผนยุทธศาสตร์ภาคใต้ที่มุ่งเน้นการสร้างความเข้มแข็งให้ชุมชนซึ่งอาศัยเครือข่ายที่มีอยู่ในพื้นที่โดยเฉพาะมัสยิด รวมทั้งสหกรณ์อิสลามเป็นกลไกในการขับเคลื่อน เพื่อลดปัญหาความยากจนในพื้นที่พันธกิจของธนาคารอย่างยั่งยืนต่อไป</w:t>
      </w:r>
      <w:r w:rsidRPr="00897905">
        <w:rPr>
          <w:rFonts w:asciiTheme="majorBidi" w:eastAsia="Times New Roman" w:hAnsiTheme="majorBidi" w:cstheme="majorBidi"/>
          <w:color w:val="000000"/>
          <w:spacing w:val="2"/>
          <w:position w:val="0"/>
          <w:sz w:val="32"/>
          <w:szCs w:val="32"/>
        </w:rPr>
        <w:t> </w:t>
      </w:r>
    </w:p>
    <w:p w:rsidR="00897905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00000"/>
          <w:position w:val="0"/>
          <w:sz w:val="12"/>
          <w:szCs w:val="12"/>
        </w:rPr>
      </w:pP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สำหรับ</w:t>
      </w:r>
      <w:r w:rsidRPr="00897905">
        <w:rPr>
          <w:rFonts w:asciiTheme="majorBidi" w:eastAsia="Times New Roman" w:hAnsiTheme="majorBidi" w:cstheme="majorBidi"/>
          <w:b/>
          <w:bCs/>
          <w:color w:val="000000"/>
          <w:position w:val="0"/>
          <w:sz w:val="32"/>
          <w:szCs w:val="32"/>
          <w:cs/>
        </w:rPr>
        <w:t>ยุทธศาสตร์ด้านธุรกิจ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ธนาคารเดินหน้าขยายสินเชื่อ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SMEs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ในกลุ่มธุรกิจเป้าหมายของธนาคาร ตลอดจนการทำ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Synergy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กับหน่วยงานภาครัฐเพื่อช่วยเหลือผู้ประกอบการ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SMEs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ส่วนสินเชื่อ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Corporate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ซึ่งเศรษฐกิจมีแนวโน้มฟื้นตัวแล้ว ธนาคารก็ยังคงให้การสนับสนุนทั้งลูกค้าเดิมและลูกค้าใหม่ สำหรับสินเชื่อรายย่อยซึ่งเป็นกลุ่มที่ธนาคารมุ่งเน้นและเติบโตได้ดีอยู่แล้ว จะประสานความร่วมมือกับบริษัทลูก หรือ บมจ.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อะ</w:t>
      </w:r>
      <w:proofErr w:type="spellEnd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มานะ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ห์</w:t>
      </w:r>
      <w:proofErr w:type="spellEnd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 ลิสซิ่ง ในการแนะนำธุรกิจระหว่างกันเพื่อเป็นการ สร้างคุณค่าให้แก่ลูกค้า นอกจากนี้ ยังตั้งเป้าลดหนี้ที่ไม่ก่อให้เกิดรายได้ (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NPF)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ด้วยการแก้ไขหนี้อย่างเบ็ดเสร็จ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> </w:t>
      </w:r>
    </w:p>
    <w:p w:rsidR="00897905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00000"/>
          <w:position w:val="0"/>
          <w:sz w:val="12"/>
          <w:szCs w:val="12"/>
        </w:rPr>
      </w:pP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ส่วน</w:t>
      </w:r>
      <w:r w:rsidRPr="00897905">
        <w:rPr>
          <w:rFonts w:asciiTheme="majorBidi" w:eastAsia="Times New Roman" w:hAnsiTheme="majorBidi" w:cstheme="majorBidi"/>
          <w:b/>
          <w:bCs/>
          <w:color w:val="000000"/>
          <w:position w:val="0"/>
          <w:sz w:val="32"/>
          <w:szCs w:val="32"/>
          <w:cs/>
        </w:rPr>
        <w:t>ยุทธศาสตร์ด้านการพัฒนาองค์กร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ธนาคารจะใช้ระบบเทคโนโลยีและข้อมูลในการปฏิบัติงาน รวมทั้งจะเพิ่มช่องทางการบริการผ่านโมบายแบงก์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กิ้ง</w:t>
      </w:r>
      <w:proofErr w:type="spellEnd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 โดยเป็นการพัฒนาผ่านความร่วมมือ (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Synergy)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กับหน่วยงานภาครัฐซึ่งคาดว่าจะแล้วเสร็จพร้อมให้บริการในไตรมาส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3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นี้แน่นอน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> </w:t>
      </w:r>
    </w:p>
    <w:p w:rsidR="00897905" w:rsidRPr="00897905" w:rsidRDefault="00897905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00000"/>
          <w:position w:val="0"/>
          <w:sz w:val="12"/>
          <w:szCs w:val="12"/>
        </w:rPr>
      </w:pP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สำหรับ</w:t>
      </w:r>
      <w:r w:rsidRPr="00897905">
        <w:rPr>
          <w:rFonts w:asciiTheme="majorBidi" w:eastAsia="Times New Roman" w:hAnsiTheme="majorBidi" w:cstheme="majorBidi"/>
          <w:b/>
          <w:bCs/>
          <w:color w:val="000000"/>
          <w:position w:val="0"/>
          <w:sz w:val="32"/>
          <w:szCs w:val="32"/>
          <w:cs/>
        </w:rPr>
        <w:t>ทิศทางองค์กรในอนาคต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ธนาคารตั้งเป้าสร้างกำไรอย่างยั่งยืนและเงินกองทุนเติบโตอย่างเข้มแข็ง โดยจากการศึกษาภาพรวมของตลาดการเงินอิสลามทั่วโลก ในรายงานการพัฒนาของระบบการเงินอิสลามฉบับปี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2565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ของ 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>Refinitiv</w:t>
      </w:r>
      <w:proofErr w:type="spellEnd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ผู้ให้บริการข้อมูลอัจฉริยะด้านการเงินและการจัดการความเสี่ยงแถวหน้าของโลก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 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โดยในรายงานพบว่า ณ สิ้นปี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2564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สินทรัพย์ของระบบการเงินอิสลามรวมทั่วโลกมีมากถึง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137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ล้านล้านบาท มีอัตราการเติบโตของสินทรัพย์แม้ภายหลังประสบปัญหาเศรษฐกิจจากสถานการณ์โควิด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19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ที่ร้อยละ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17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และมีจำนวนสถาบันที่ออกผลิตภัณฑ์ทางการเงิน รวมกว่า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1,650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แห่งทั่วโลก โดยสินทรัพย์รวมของระบบการเงินอิสลาม มีสินทรัพย์ที่มาจากภาคธนาคารอิสลามมากที่สุดถึงร้อยละ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70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รองลงมาคือ</w:t>
      </w:r>
      <w:proofErr w:type="spellStart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ศุ</w:t>
      </w:r>
      <w:proofErr w:type="spellEnd"/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กูกหรือพันธบัตรอิสลาม ร้อยละ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18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และกองทุนอิสลามที่ร้อยละ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6 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และสำหรับสินทรัพย์จากภาคธนาคารอิสลาม รวมทั่วโลกแล้วมีทั้งสิ้นราว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96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ล้านล้านบาท มีอัตราการเติบโตของสินทรัพย์ธนาคารอิสลามรวม ร้อยละ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17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หรือเท่ากับการเติบโตในภาพรวมของการเงินอิสลามทั้งระบบ และมีจำนวนธนาคารอิสลาม ณ ปี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2564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 xml:space="preserve">รวม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566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แห่งทั่ว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โลก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ซึ่งจากข้อมูลดังกล่าวข้างต้น ระบบการเงินอิสลามในประเทศไทยยังมีโอกาสในการเติบโตได้อีกมาก โดยเมื่อช่วงต้นปี ก.ล.ต. ก็อยู่ระหว่างปรับปรุงหลักเกณฑ์การจัดตั้งกองทุนรวมอิสลาม เพื่อสร้างความเชื่อมั่นแก่ผู้ลงทุนมุสลิมว่าการลงทุนในกองทุนรวมที่มีอยู่ในประเทศไทยเป็นไปตามหลักศาสนาอิสลาม สำหรับผลิตภัณฑ์ประกันตะกา</w:t>
      </w:r>
      <w:proofErr w:type="spellStart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ฟุล</w:t>
      </w:r>
      <w:proofErr w:type="spellEnd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 xml:space="preserve">ในประเทศไทยก็ได้รับการส่งเสริมและสนับสนุนจาก </w:t>
      </w:r>
      <w:proofErr w:type="spellStart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คป</w:t>
      </w:r>
      <w:proofErr w:type="spellEnd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ภ. ในพัฒนาขอบเขตการให้บริการที่สอดคล้องกับแนวโน้มความต้องการของตลาด นอกจากนี้การฟื้นความสัมพันธ์กับประเทศซาอุดิอาระเบียยังเสริมสร้างโอกาสในการเชื่อมโยงการค้าการลงทุนกับระบบการเงินอิสลามชั้นนำในต่างประเทศ</w:t>
      </w:r>
    </w:p>
    <w:p w:rsidR="00897905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00000"/>
          <w:position w:val="0"/>
          <w:sz w:val="12"/>
          <w:szCs w:val="12"/>
        </w:rPr>
      </w:pP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> </w:t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1418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lastRenderedPageBreak/>
        <w:t xml:space="preserve">จากการวางทิศทางและตั้งเป้าหมายที่กล่าวมา เชื่อมั่นว่าด้วยความร่วมมือร่วมใจของทีมงานไอแบงก์ทั้งหมด จะทำให้ในปี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2566 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  <w:cs/>
        </w:rPr>
        <w:t>ธนาคารสามารถมีกำไรสุทธิเพิ่มขึ้นจากปีก่อนอย่างมีนัยสำคัญพร้อมกับการสร้างสรรค์สังคมอย่างยั่งยืน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 xml:space="preserve">   </w:t>
      </w:r>
      <w:r w:rsidRPr="00897905">
        <w:rPr>
          <w:rFonts w:asciiTheme="majorBidi" w:eastAsia="Times New Roman" w:hAnsiTheme="majorBidi" w:cstheme="majorBidi"/>
          <w:b/>
          <w:bCs/>
          <w:color w:val="000000"/>
          <w:position w:val="0"/>
          <w:sz w:val="32"/>
          <w:szCs w:val="32"/>
          <w:cs/>
        </w:rPr>
        <w:t>ดร.ทวีลาภ กล่าวทิ้งท้าย</w:t>
      </w:r>
      <w:r w:rsidRPr="00897905">
        <w:rPr>
          <w:rFonts w:asciiTheme="majorBidi" w:eastAsia="Times New Roman" w:hAnsiTheme="majorBidi" w:cstheme="majorBidi"/>
          <w:color w:val="000000"/>
          <w:position w:val="0"/>
          <w:sz w:val="32"/>
          <w:szCs w:val="32"/>
        </w:rPr>
        <w:t> </w:t>
      </w:r>
    </w:p>
    <w:p w:rsidR="0022615C" w:rsidRPr="00897905" w:rsidRDefault="0022615C" w:rsidP="00897905">
      <w:pPr>
        <w:shd w:val="clear" w:color="auto" w:fill="FFFFFF"/>
        <w:suppressAutoHyphens w:val="0"/>
        <w:spacing w:after="0" w:line="20" w:lineRule="atLeast"/>
        <w:ind w:leftChars="0" w:left="0" w:firstLineChars="0" w:hanging="2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</w:p>
    <w:p w:rsidR="0022615C" w:rsidRPr="00897905" w:rsidRDefault="00897905" w:rsidP="00897905">
      <w:pPr>
        <w:pStyle w:val="NoSpacing"/>
        <w:spacing w:after="0" w:line="20" w:lineRule="atLeast"/>
        <w:ind w:left="1" w:hanging="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</w:t>
      </w:r>
    </w:p>
    <w:p w:rsidR="00897905" w:rsidRDefault="00897905" w:rsidP="00897905">
      <w:pPr>
        <w:pStyle w:val="NoSpacing"/>
        <w:spacing w:after="0" w:line="20" w:lineRule="atLeast"/>
        <w:ind w:left="1" w:hanging="3"/>
        <w:jc w:val="center"/>
        <w:rPr>
          <w:rFonts w:asciiTheme="majorBidi" w:hAnsiTheme="majorBidi" w:cstheme="majorBidi"/>
          <w:sz w:val="32"/>
          <w:szCs w:val="32"/>
        </w:rPr>
      </w:pPr>
    </w:p>
    <w:p w:rsidR="007C114B" w:rsidRPr="00897905" w:rsidRDefault="00C915B5" w:rsidP="00897905">
      <w:pPr>
        <w:pStyle w:val="NoSpacing"/>
        <w:spacing w:after="0" w:line="20" w:lineRule="atLeast"/>
        <w:ind w:left="1" w:hanging="3"/>
        <w:jc w:val="center"/>
        <w:rPr>
          <w:rFonts w:asciiTheme="majorBidi" w:hAnsiTheme="majorBidi" w:cstheme="majorBidi"/>
          <w:sz w:val="32"/>
          <w:szCs w:val="32"/>
        </w:rPr>
      </w:pPr>
      <w:r w:rsidRPr="00897905">
        <w:rPr>
          <w:rFonts w:asciiTheme="majorBidi" w:hAnsiTheme="majorBidi" w:cstheme="majorBidi"/>
          <w:sz w:val="32"/>
          <w:szCs w:val="32"/>
          <w:cs/>
        </w:rPr>
        <w:t>ขอขอบคุณในความอนุเคราะห์เผยแพร่ข่าวสาร</w:t>
      </w:r>
    </w:p>
    <w:p w:rsidR="002221E3" w:rsidRPr="00897905" w:rsidRDefault="002221E3" w:rsidP="00897905">
      <w:pPr>
        <w:shd w:val="clear" w:color="auto" w:fill="FFFFFF"/>
        <w:suppressAutoHyphens w:val="0"/>
        <w:spacing w:after="0" w:line="20" w:lineRule="atLeast"/>
        <w:ind w:leftChars="0" w:left="1" w:firstLineChars="0" w:hanging="3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</w:p>
    <w:p w:rsidR="002221E3" w:rsidRPr="00897905" w:rsidRDefault="002221E3" w:rsidP="00897905">
      <w:pPr>
        <w:pStyle w:val="NoSpacing"/>
        <w:spacing w:after="0" w:line="20" w:lineRule="atLeast"/>
        <w:ind w:leftChars="0" w:left="0" w:firstLineChars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221E3" w:rsidRPr="00897905" w:rsidRDefault="002221E3" w:rsidP="00897905">
      <w:pPr>
        <w:shd w:val="clear" w:color="auto" w:fill="FFFFFF"/>
        <w:suppressAutoHyphens w:val="0"/>
        <w:spacing w:after="0" w:line="20" w:lineRule="atLeast"/>
        <w:ind w:leftChars="0" w:left="1" w:firstLineChars="0" w:hanging="3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position w:val="0"/>
          <w:sz w:val="32"/>
          <w:szCs w:val="32"/>
        </w:rPr>
        <w:t>“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ไอแบงก์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</w:rPr>
        <w:t xml:space="preserve">” 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 xml:space="preserve">แถลงทิศทางธุรกิจ ครบรอบ 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</w:rPr>
        <w:t xml:space="preserve">20 </w:t>
      </w:r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ปีเป็นสถาบันการเงินที่ยึดหลักชะรี</w:t>
      </w:r>
      <w:proofErr w:type="spellStart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>อะฮ์</w:t>
      </w:r>
      <w:proofErr w:type="spellEnd"/>
      <w:r w:rsidRPr="00897905">
        <w:rPr>
          <w:rFonts w:asciiTheme="majorBidi" w:eastAsia="Times New Roman" w:hAnsiTheme="majorBidi" w:cstheme="majorBidi"/>
          <w:position w:val="0"/>
          <w:sz w:val="32"/>
          <w:szCs w:val="32"/>
          <w:cs/>
        </w:rPr>
        <w:t xml:space="preserve"> เพื่อความยั่งยืน</w:t>
      </w:r>
    </w:p>
    <w:p w:rsidR="002221E3" w:rsidRPr="00897905" w:rsidRDefault="002221E3" w:rsidP="00897905">
      <w:pPr>
        <w:shd w:val="clear" w:color="auto" w:fill="FFFFFF"/>
        <w:suppressAutoHyphens w:val="0"/>
        <w:spacing w:after="0" w:line="20" w:lineRule="atLeast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Theme="majorBidi" w:eastAsia="Times New Roman" w:hAnsiTheme="majorBidi" w:cstheme="majorBidi"/>
          <w:color w:val="050505"/>
          <w:position w:val="0"/>
          <w:sz w:val="32"/>
          <w:szCs w:val="32"/>
        </w:rPr>
      </w:pPr>
      <w:r w:rsidRPr="00897905">
        <w:rPr>
          <w:rFonts w:asciiTheme="majorBidi" w:eastAsia="Times New Roman" w:hAnsiTheme="majorBidi" w:cstheme="majorBidi"/>
          <w:color w:val="050505"/>
          <w:position w:val="0"/>
          <w:sz w:val="32"/>
          <w:szCs w:val="32"/>
          <w:cs/>
        </w:rPr>
        <w:t xml:space="preserve"> คลิกอ่านรายละเอียด</w:t>
      </w:r>
      <w:r w:rsidRPr="00897905">
        <w:rPr>
          <w:rFonts w:asciiTheme="majorBidi" w:eastAsia="Times New Roman" w:hAnsiTheme="majorBidi" w:cstheme="majorBidi"/>
          <w:color w:val="050505"/>
          <w:position w:val="0"/>
          <w:sz w:val="32"/>
          <w:szCs w:val="32"/>
        </w:rPr>
        <w:t xml:space="preserve"> </w:t>
      </w:r>
      <w:r w:rsidRPr="00897905">
        <w:rPr>
          <w:rFonts w:asciiTheme="majorBidi" w:eastAsia="Times New Roman" w:hAnsiTheme="majorBidi" w:cstheme="majorBidi"/>
          <w:noProof/>
          <w:color w:val="050505"/>
          <w:positio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Picture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5">
        <w:rPr>
          <w:rFonts w:asciiTheme="majorBidi" w:eastAsia="Times New Roman" w:hAnsiTheme="majorBidi" w:cstheme="majorBidi"/>
          <w:noProof/>
          <w:color w:val="050505"/>
          <w:positio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Picture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E3" w:rsidRPr="00897905" w:rsidRDefault="002221E3" w:rsidP="00897905">
      <w:pPr>
        <w:pStyle w:val="NoSpacing"/>
        <w:spacing w:after="0" w:line="20" w:lineRule="atLeast"/>
        <w:ind w:leftChars="0" w:left="0" w:firstLineChars="0" w:firstLine="0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897905">
        <w:rPr>
          <w:rFonts w:asciiTheme="majorBidi" w:hAnsiTheme="majorBidi" w:cstheme="majorBidi"/>
          <w:sz w:val="32"/>
          <w:szCs w:val="32"/>
        </w:rPr>
        <w:t>Website &gt;&gt;&gt;&gt;&gt; https://www.ibank.co.th/th/news/detail/2023-04-24-16-16-10</w:t>
      </w:r>
    </w:p>
    <w:p w:rsidR="002221E3" w:rsidRPr="00897905" w:rsidRDefault="002221E3" w:rsidP="00897905">
      <w:pPr>
        <w:pStyle w:val="NoSpacing"/>
        <w:spacing w:after="0" w:line="20" w:lineRule="atLeast"/>
        <w:ind w:left="1" w:hanging="3"/>
        <w:jc w:val="thaiDistribute"/>
        <w:rPr>
          <w:rFonts w:asciiTheme="majorBidi" w:hAnsiTheme="majorBidi" w:cstheme="majorBidi"/>
          <w:sz w:val="32"/>
          <w:szCs w:val="32"/>
        </w:rPr>
      </w:pPr>
    </w:p>
    <w:p w:rsidR="007C114B" w:rsidRPr="00897905" w:rsidRDefault="007C114B" w:rsidP="00897905">
      <w:pPr>
        <w:spacing w:after="0" w:line="20" w:lineRule="atLeast"/>
        <w:ind w:left="1" w:hanging="3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7C114B" w:rsidRPr="0089790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42" w:rsidRDefault="00F43C4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43C42" w:rsidRDefault="00F43C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42" w:rsidRDefault="00F43C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43C42" w:rsidRDefault="00F43C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Header"/>
      <w:ind w:left="0" w:hanging="2"/>
    </w:pPr>
  </w:p>
  <w:p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36C75"/>
    <w:rsid w:val="000C311A"/>
    <w:rsid w:val="000C6229"/>
    <w:rsid w:val="000C7475"/>
    <w:rsid w:val="000F65CE"/>
    <w:rsid w:val="001015BA"/>
    <w:rsid w:val="001218CD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221E3"/>
    <w:rsid w:val="0022615C"/>
    <w:rsid w:val="002553EC"/>
    <w:rsid w:val="00256D5A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55427"/>
    <w:rsid w:val="00461C16"/>
    <w:rsid w:val="004823C3"/>
    <w:rsid w:val="004A7172"/>
    <w:rsid w:val="004B4313"/>
    <w:rsid w:val="004D1590"/>
    <w:rsid w:val="00504ADF"/>
    <w:rsid w:val="00526522"/>
    <w:rsid w:val="005373E5"/>
    <w:rsid w:val="00541BD1"/>
    <w:rsid w:val="00555146"/>
    <w:rsid w:val="0055620C"/>
    <w:rsid w:val="0056246F"/>
    <w:rsid w:val="005B01C0"/>
    <w:rsid w:val="005F45D1"/>
    <w:rsid w:val="006241B8"/>
    <w:rsid w:val="006272C5"/>
    <w:rsid w:val="00655435"/>
    <w:rsid w:val="0066044B"/>
    <w:rsid w:val="00675A0A"/>
    <w:rsid w:val="006A64E7"/>
    <w:rsid w:val="006B3175"/>
    <w:rsid w:val="006E2AC1"/>
    <w:rsid w:val="006E5695"/>
    <w:rsid w:val="006F53E5"/>
    <w:rsid w:val="00707988"/>
    <w:rsid w:val="00743EBF"/>
    <w:rsid w:val="00787260"/>
    <w:rsid w:val="007A1F78"/>
    <w:rsid w:val="007B75F9"/>
    <w:rsid w:val="007C114B"/>
    <w:rsid w:val="00812949"/>
    <w:rsid w:val="00817C11"/>
    <w:rsid w:val="008576A2"/>
    <w:rsid w:val="00860FFD"/>
    <w:rsid w:val="00897905"/>
    <w:rsid w:val="008A354D"/>
    <w:rsid w:val="008A4738"/>
    <w:rsid w:val="008B5832"/>
    <w:rsid w:val="008C1E57"/>
    <w:rsid w:val="008C45FB"/>
    <w:rsid w:val="008F60FE"/>
    <w:rsid w:val="00905DFC"/>
    <w:rsid w:val="009112A3"/>
    <w:rsid w:val="00911F78"/>
    <w:rsid w:val="009122A7"/>
    <w:rsid w:val="00933A06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6D7"/>
    <w:rsid w:val="00B96A3E"/>
    <w:rsid w:val="00BF31B7"/>
    <w:rsid w:val="00C3500F"/>
    <w:rsid w:val="00C614BA"/>
    <w:rsid w:val="00C67FF4"/>
    <w:rsid w:val="00C72D1A"/>
    <w:rsid w:val="00C915B5"/>
    <w:rsid w:val="00CA71CB"/>
    <w:rsid w:val="00CE47EF"/>
    <w:rsid w:val="00D055F8"/>
    <w:rsid w:val="00D2178D"/>
    <w:rsid w:val="00D3224F"/>
    <w:rsid w:val="00D366D5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529A4"/>
    <w:rsid w:val="00E73C78"/>
    <w:rsid w:val="00E83D4B"/>
    <w:rsid w:val="00EA5714"/>
    <w:rsid w:val="00EB1144"/>
    <w:rsid w:val="00EE7864"/>
    <w:rsid w:val="00F0057D"/>
    <w:rsid w:val="00F40E94"/>
    <w:rsid w:val="00F43C42"/>
    <w:rsid w:val="00F43DB7"/>
    <w:rsid w:val="00F570EE"/>
    <w:rsid w:val="00F70CF0"/>
    <w:rsid w:val="00F7192C"/>
    <w:rsid w:val="00F76EB1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2A4D"/>
  <w15:docId w15:val="{7B053BF4-F93D-49EC-A88C-E22F3B94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52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rsid w:val="0052652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26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26522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26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26522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26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2652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526522"/>
    <w:pPr>
      <w:ind w:left="720"/>
      <w:contextualSpacing/>
    </w:pPr>
  </w:style>
  <w:style w:type="paragraph" w:styleId="NoSpacing">
    <w:name w:val="No Spacing"/>
    <w:uiPriority w:val="1"/>
    <w:qFormat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5265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rsid w:val="00526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526522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5265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526522"/>
    <w:rPr>
      <w:b/>
      <w:bCs/>
      <w:sz w:val="20"/>
      <w:szCs w:val="25"/>
    </w:rPr>
  </w:style>
  <w:style w:type="character" w:customStyle="1" w:styleId="UnresolvedMention1">
    <w:name w:val="Unresolved Mention1"/>
    <w:qFormat/>
    <w:rsid w:val="0052652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526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6B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11</cp:revision>
  <cp:lastPrinted>2022-01-28T04:02:00Z</cp:lastPrinted>
  <dcterms:created xsi:type="dcterms:W3CDTF">2023-04-10T09:54:00Z</dcterms:created>
  <dcterms:modified xsi:type="dcterms:W3CDTF">2023-04-25T00:08:00Z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