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D76" w14:textId="7E19C89E" w:rsidR="00293DA0" w:rsidRPr="002B3211" w:rsidRDefault="00542E35" w:rsidP="008058F3">
      <w:pPr>
        <w:pStyle w:val="NoSpacing"/>
        <w:rPr>
          <w:rFonts w:ascii="Cordia New" w:hAnsi="Cordia New" w:cs="Cordia New"/>
          <w:cs/>
        </w:rPr>
      </w:pPr>
      <w:r>
        <w:rPr>
          <w:rFonts w:ascii="Cordia New" w:hAnsi="Cordia New" w:cs="Cordia New"/>
          <w:noProof/>
          <w:lang w:val="th-TH"/>
        </w:rPr>
        <w:drawing>
          <wp:inline distT="0" distB="0" distL="0" distR="0" wp14:anchorId="3E324D22" wp14:editId="31B6B722">
            <wp:extent cx="5943600" cy="3960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5773" w14:textId="77777777" w:rsidR="006A03C1" w:rsidRDefault="006A03C1" w:rsidP="008301AA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74A1A96" w14:textId="291D6513" w:rsidR="00EF3F4C" w:rsidRPr="002B3211" w:rsidRDefault="00EF3F4C" w:rsidP="008301AA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B3211">
        <w:rPr>
          <w:rFonts w:ascii="Cordia New" w:hAnsi="Cordia New" w:cs="Cordia New"/>
          <w:b/>
          <w:bCs/>
          <w:sz w:val="32"/>
          <w:szCs w:val="32"/>
        </w:rPr>
        <w:t>Key Highlights</w:t>
      </w:r>
    </w:p>
    <w:p w14:paraId="79595092" w14:textId="77777777" w:rsidR="00542E35" w:rsidRPr="00542E35" w:rsidRDefault="00542E35" w:rsidP="00542E35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</w:rPr>
      </w:pPr>
      <w:r w:rsidRPr="00542E35">
        <w:rPr>
          <w:rFonts w:ascii="Cordia New" w:hAnsi="Cordia New" w:cs="Cordia New"/>
          <w:b/>
          <w:bCs/>
          <w:sz w:val="28"/>
          <w:cs/>
        </w:rPr>
        <w:t xml:space="preserve">กนง. มีมติเป็นเอกฉันท์ให้ปรับขึ้นอัตราดอกเบี้ยนโยบายร้อยละ 0.25 ต่อปี สู่ระดับร้อยละ 1.75 ต่อปี </w:t>
      </w:r>
      <w:r w:rsidRPr="00542E35">
        <w:rPr>
          <w:rFonts w:ascii="Cordia New" w:hAnsi="Cordia New" w:cs="Cordia New"/>
          <w:sz w:val="28"/>
          <w:cs/>
        </w:rPr>
        <w:t xml:space="preserve">โดยเป็นการปรับขึ้นต่อเนื่องติดต่อกันเป็นครั้งที่ 5 กนง. มองว่าเศรษฐกิจไทยขยายตัวต่อเนื่องจากภาคการท่องเที่ยวและการบริโภคภาคเอกชนเป็น ขณะที่อัตราเงินเฟ้อทั่วไปมีแนวโน้มลดลงและเริ่มกลับเข้าสู่กรอบเป้าหมายในช่วงกลางปี แต่มีความเสี่ยงที่จะอยู่ในระดับสูงนานกว่าคาดจากการส่งผ่านต้นทุนที่อาจเพิ่มขึ้นและแรงกดดันเงินเฟ้อด้านอุปสงค์จากการฟื้นตัวของเศรษฐกิจ </w:t>
      </w:r>
    </w:p>
    <w:p w14:paraId="7274DDD0" w14:textId="77777777" w:rsidR="00542E35" w:rsidRPr="00542E35" w:rsidRDefault="00542E35" w:rsidP="00542E35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  <w:cs/>
        </w:rPr>
      </w:pPr>
      <w:r w:rsidRPr="00542E35">
        <w:rPr>
          <w:rFonts w:ascii="Cordia New" w:hAnsi="Cordia New" w:cs="Cordia New"/>
          <w:b/>
          <w:bCs/>
          <w:sz w:val="28"/>
        </w:rPr>
        <w:t>Krungthai</w:t>
      </w:r>
      <w:r w:rsidRPr="00542E35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542E35">
        <w:rPr>
          <w:rFonts w:ascii="Cordia New" w:hAnsi="Cordia New" w:cs="Cordia New"/>
          <w:b/>
          <w:bCs/>
          <w:sz w:val="28"/>
        </w:rPr>
        <w:t>COMPASS</w:t>
      </w:r>
      <w:r w:rsidRPr="00542E35">
        <w:rPr>
          <w:rFonts w:ascii="Cordia New" w:hAnsi="Cordia New" w:cs="Cordia New"/>
          <w:b/>
          <w:bCs/>
          <w:sz w:val="28"/>
          <w:cs/>
        </w:rPr>
        <w:t xml:space="preserve"> ประเมินว่า กนง. มีแนวโน้มปรับขึ้นอัตราดอกเบี้ยอีก 1 ครั้ง ในการประชุมครั้งถัดไป ส่งผลให้อัตราดอกเบี้ยขาขึ้นรอบนี้แตะระดับ 2.0</w:t>
      </w:r>
      <w:r w:rsidRPr="00542E35">
        <w:rPr>
          <w:rFonts w:ascii="Cordia New" w:hAnsi="Cordia New" w:cs="Cordia New"/>
          <w:b/>
          <w:bCs/>
          <w:sz w:val="28"/>
        </w:rPr>
        <w:t>%</w:t>
      </w:r>
      <w:r w:rsidRPr="00542E35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542E35">
        <w:rPr>
          <w:rFonts w:ascii="Cordia New" w:hAnsi="Cordia New" w:cs="Cordia New"/>
          <w:sz w:val="28"/>
          <w:cs/>
        </w:rPr>
        <w:t>โดยมีปัจจัยสนับสนุนจากการที่ กนง. ประเมินว่าเศรษฐกิจมีแนวโน้มเติบโตต่อเนื่อง และอัตราเงินเฟ้อมีความเสี่ยงที่อาจสูงนานกว่าคาดจากการส่งผ่านต้นทุนที่อาจเพิ่มขึ้นท่ามกลาง</w:t>
      </w:r>
      <w:r w:rsidRPr="00542E35">
        <w:rPr>
          <w:rFonts w:ascii="Cordia New" w:hAnsi="Cordia New" w:cs="Cordia New"/>
          <w:sz w:val="28"/>
          <w:cs/>
        </w:rPr>
        <w:br/>
        <w:t>อุปสงค์ที่ฟื้นตัว อีกทั้ง เสถียรภาพของสถาบันการเงินไทยยังอยู่ในเกณฑ์ดี</w:t>
      </w:r>
    </w:p>
    <w:p w14:paraId="17F756A1" w14:textId="77777777" w:rsidR="00E545C5" w:rsidRPr="00D63A3F" w:rsidRDefault="00E545C5" w:rsidP="00E545C5">
      <w:pPr>
        <w:pStyle w:val="ListParagraph"/>
        <w:rPr>
          <w:rFonts w:ascii="Cordia New" w:hAnsi="Cordia New" w:cs="Cordia New"/>
          <w:sz w:val="28"/>
          <w:cs/>
        </w:rPr>
      </w:pPr>
    </w:p>
    <w:p w14:paraId="1E1188E5" w14:textId="77777777" w:rsidR="00D63A3F" w:rsidRPr="001439F5" w:rsidRDefault="00D63A3F" w:rsidP="00D63A3F">
      <w:pPr>
        <w:pStyle w:val="ListParagraph"/>
        <w:rPr>
          <w:rFonts w:ascii="Cordia New" w:hAnsi="Cordia New" w:cs="Cordia New"/>
          <w:sz w:val="28"/>
          <w:cs/>
        </w:rPr>
      </w:pPr>
    </w:p>
    <w:p w14:paraId="47C97A71" w14:textId="77777777" w:rsidR="001634A5" w:rsidRPr="002B3211" w:rsidRDefault="001634A5" w:rsidP="001634A5">
      <w:pPr>
        <w:pStyle w:val="ListParagraph"/>
        <w:rPr>
          <w:rFonts w:ascii="Cordia New" w:hAnsi="Cordia New" w:cs="Cordia New"/>
          <w:sz w:val="28"/>
        </w:rPr>
      </w:pPr>
    </w:p>
    <w:p w14:paraId="74631F4E" w14:textId="77777777" w:rsidR="009A3759" w:rsidRDefault="009A3759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</w:rPr>
        <w:t>ฉมาดนัย มากนวล</w:t>
      </w:r>
    </w:p>
    <w:p w14:paraId="444F75A1" w14:textId="13425FD5" w:rsidR="00D63A3F" w:rsidRDefault="00D63A3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D63A3F">
        <w:rPr>
          <w:rFonts w:ascii="Cordia New" w:hAnsi="Cordia New" w:cs="Cordia New"/>
          <w:b/>
          <w:bCs/>
          <w:sz w:val="28"/>
          <w:szCs w:val="28"/>
          <w:cs/>
        </w:rPr>
        <w:t>ชนม์นิธิศ ไชยสิงห์ทอง</w:t>
      </w:r>
    </w:p>
    <w:p w14:paraId="200926A7" w14:textId="29ABF129" w:rsidR="001439F5" w:rsidRDefault="00AE435F" w:rsidP="008301AA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  <w:sectPr w:rsidR="001439F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  <w:r w:rsidRPr="002B3211">
        <w:rPr>
          <w:rFonts w:ascii="Cordia New" w:hAnsi="Cordia New" w:cs="Cordia New"/>
          <w:b/>
          <w:bCs/>
          <w:sz w:val="28"/>
          <w:szCs w:val="28"/>
        </w:rPr>
        <w:t>Krungthai COMPASS</w:t>
      </w:r>
    </w:p>
    <w:p w14:paraId="51AA7F12" w14:textId="77777777" w:rsidR="00542E35" w:rsidRPr="00542E35" w:rsidRDefault="00542E35" w:rsidP="00542E3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 xml:space="preserve">กนง. มีมติเป็นเอกฉันท์ปรับขึ้นอัตราดอกเบี้ยนโยบายต่อเนื่องเป็นครั้งที่ 5 สู่ร้อยละ 1.75 ต่อปี </w:t>
      </w:r>
    </w:p>
    <w:p w14:paraId="457A05C8" w14:textId="2E13AF14" w:rsidR="00542E35" w:rsidRPr="00542E35" w:rsidRDefault="00542E35" w:rsidP="00542E3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กนง. มีมติเป็นเอกฉันท์ปรับขึ้นอัตราดอกเบี้ยนโยบายร้อยละ 0.25 ต่อปี จากร้อยละ 1.50 เป็นร้อยละ 1.75 ต่อปี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ในการประชุมครั้งที่ 2/2566 โดยมีสาระสำคัญดังนี้</w:t>
      </w:r>
    </w:p>
    <w:p w14:paraId="5C3D9953" w14:textId="3CA7B273" w:rsidR="00542E35" w:rsidRDefault="00542E35" w:rsidP="00542E35">
      <w:pPr>
        <w:pStyle w:val="ListParagraph"/>
        <w:numPr>
          <w:ilvl w:val="0"/>
          <w:numId w:val="24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เศรษฐกิจไทยมีแนวโน้มขยายตัวต่อเนื่องจากภาคการท่องเที่ยวและการบริโภคภาคเอกชนเป็นสำคัญ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โดยเศรษฐกิจในปี 2566 และ 2567 มีแนวโน้มขยายตัวได้ที่ร้อยละ 3.6 และ 3.8 ตามลำดับ จากจำนวนนักท่องเที่ยวต่างชาติที่เพิ่มขึ้นต่อเนื่อง ซึ่งจะช่วยสนับสนุนการจ้างงานและรายได้แรงงาน และจะส่งผลดีต่อเนื่องไปยังการบริโภคภาคเอกชน สำหรับการส่งออกสินค้าเริ่มมีสัญญาณฟื้นตัวจากที่หดตัวในช่วงก่อนหน้าและคาดว่าจะฟื้นตัวชัดเจนขึ้นในช่วงครึ่งหลังของปี อย่างไรก็ตาม เศรษฐกิจโลกมีความไม่แน่นอนเพิ่มขึ้นจากแนวโน้มเงินเฟ้อที่อยู่ในระดับสูงและปัญหาสถาบันการเงินในประเทศเศรษฐกิจหลัก </w:t>
      </w:r>
    </w:p>
    <w:p w14:paraId="0875B4AE" w14:textId="77777777" w:rsidR="00542E35" w:rsidRPr="00542E35" w:rsidRDefault="00542E35" w:rsidP="00542E35">
      <w:pPr>
        <w:pStyle w:val="ListParagraph"/>
        <w:spacing w:line="360" w:lineRule="exact"/>
        <w:jc w:val="thaiDistribute"/>
        <w:rPr>
          <w:rFonts w:ascii="Cordia New" w:eastAsiaTheme="minorEastAsia" w:hAnsi="Cordia New" w:cs="Cordia New" w:hint="cs"/>
          <w:color w:val="000000" w:themeColor="text1"/>
          <w:kern w:val="24"/>
          <w:sz w:val="28"/>
        </w:rPr>
      </w:pPr>
    </w:p>
    <w:p w14:paraId="422FDF97" w14:textId="49B0692A" w:rsidR="00542E35" w:rsidRPr="00542E35" w:rsidRDefault="00542E35" w:rsidP="00542E35">
      <w:pPr>
        <w:pStyle w:val="ListParagraph"/>
        <w:numPr>
          <w:ilvl w:val="0"/>
          <w:numId w:val="24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 wp14:anchorId="7B8FBEEC" wp14:editId="3B261CC4">
            <wp:simplePos x="0" y="0"/>
            <wp:positionH relativeFrom="column">
              <wp:posOffset>-45720</wp:posOffset>
            </wp:positionH>
            <wp:positionV relativeFrom="paragraph">
              <wp:posOffset>1546860</wp:posOffset>
            </wp:positionV>
            <wp:extent cx="5943600" cy="33362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อัตราเงินเฟ้อทั่วไปมีแนวโน้มเริ่มกลับเข้าสู่กรอบเป้าหมายในช่วงกลางปีนี้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คาดว่าอัตราเงินเฟ้อทั่วไปปี 2566 และ 2567 จะอยู่ที่ร้อยละ 2.9 และ 2.4 ตามลำดับ ตามแรงกดดันด้านอุปทานจากค่าไฟฟ้าและราคาน้ำมันที่ทยอยคลี่คลาย ขณะที่อัตราเงินเฟ้อพื้นฐานมีแนวโน้มทยอยลดลงในปี 2566 และ 2567 อยู่ที่ร้อยละ 2.4 และ 2.0 ตามลำดับ อย่างไรก็ตาม อัตราเงินเฟ้อมีความเสี่ยงที่จะอยู่ในระดับสูงนานกว่าคาดจากการส่งผ่านต้นทุนที่อาจเพิ่มขึ้น เนื่องจากผู้ประกอบการเผชิญภาวะต้นทุนที่สูงต่อเนื่องและมีแรงกดดันเงินเฟ้อด้านอุปสงค์ที่เพิ่มขึ้นตามการฟื้นตัวของเศรษฐกิจ </w:t>
      </w:r>
    </w:p>
    <w:p w14:paraId="3B20DE93" w14:textId="7DB5FCCE" w:rsidR="009A3759" w:rsidRPr="00542E35" w:rsidRDefault="009A3759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3425B7AC" w14:textId="77777777" w:rsidR="00542E35" w:rsidRDefault="00542E35" w:rsidP="00EA7631">
      <w:pPr>
        <w:spacing w:line="360" w:lineRule="exact"/>
        <w:jc w:val="thaiDistribute"/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sectPr w:rsidR="00542E3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56CE703D" w14:textId="48ECA461" w:rsidR="00542E35" w:rsidRPr="00542E35" w:rsidRDefault="00542E35" w:rsidP="00542E35">
      <w:pPr>
        <w:pStyle w:val="ListParagraph"/>
        <w:numPr>
          <w:ilvl w:val="0"/>
          <w:numId w:val="23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lastRenderedPageBreak/>
        <w:t xml:space="preserve">ปัญหาสถาบันการเงินในประเทศเศรษฐกิจหลักในช่วงที่ผ่านมาไม่ได้ส่งผลต่อระบบการเงินไทยอย่างมีนัยสำคัญ แต่ยังต้องติดตามสถานการณ์และผลกระทบในระยะข้างหน้า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โดยสถาบันการเงินและภาคธุรกิจไทยมีความเชื่อมโยงกับสถาบันการเงินและสินทรัพย์เสี่ยงที่เกิดปัญหาจำกัด รวมถึงธนาคารพาณิชย์มีระดับเงินกองทุนที่เข้มแข็ง ขณะที่มาตรการปรับโครงสร้างหนี้ควรดำเนินการอย่างต่อเนื่อง และเห็นความสำคัญของการมีมาตรการเฉพาะจุดและแนวทางแก้ปัญหาหนี้อย่างยั่งยืนสำหรับกลุ่มเปราะบาง แม้ว่าความสามารถในการชำระหนี้ของภาคธุรกิจและภาคครัวเรือนปรับดีขึ้นตามการฟื้นตัวของเศรษฐกิจ แต่ฐานะการเงินของผู้ประกอบการ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SMEs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และครัวเรือนบางส่วนยังเปราะบางและอ่อนไหวต่อค่าครองชีพและภาระหนี้ที่สูงขึ้น </w:t>
      </w:r>
    </w:p>
    <w:p w14:paraId="48B4B079" w14:textId="24970F27" w:rsidR="00542E35" w:rsidRPr="00542E35" w:rsidRDefault="00542E35" w:rsidP="00542E35">
      <w:pPr>
        <w:pStyle w:val="ListParagraph"/>
        <w:numPr>
          <w:ilvl w:val="0"/>
          <w:numId w:val="23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>
        <w:rPr>
          <w:rFonts w:eastAsiaTheme="minorEastAsia" w:hint="cs"/>
          <w:noProof/>
          <w:lang w:val="th-TH"/>
        </w:rPr>
        <w:drawing>
          <wp:anchor distT="0" distB="0" distL="114300" distR="114300" simplePos="0" relativeHeight="251660288" behindDoc="0" locked="0" layoutInCell="1" allowOverlap="1" wp14:anchorId="4C5E1F85" wp14:editId="22F716AC">
            <wp:simplePos x="0" y="0"/>
            <wp:positionH relativeFrom="column">
              <wp:posOffset>-60960</wp:posOffset>
            </wp:positionH>
            <wp:positionV relativeFrom="paragraph">
              <wp:posOffset>1186180</wp:posOffset>
            </wp:positionV>
            <wp:extent cx="5943600" cy="35477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ภาวะการเงินโดยรวมผ่อนคลาย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ต้นทุนการกู้ยืมของภาคเอกชนปรับสูงขึ้นสอดคล้องกับอัตราดอกเบี้ยนโยบายแต่ยังไม่เป็นอุปสรรคต่อการระดมทุนของภาคเอกชนและการฟื้นตัวของเศรษฐกิจ ขณะที่อัตราแลกเปลี่ยนเงินบาทเทียบดอลลาร์ สรอ. เคลื่อนไหวผันผวนตามทิศทางนโยบายการเงินของธนาคารกลางสหรัฐฯ ที่มีความไม่แน่นอน และตลาดการเงินโลกที่ผันผวนจากปัญหาสถาบันการเงินในประเทศเศรษฐกิจหลัก</w:t>
      </w:r>
    </w:p>
    <w:p w14:paraId="0D1BCACD" w14:textId="7A6F8D92" w:rsidR="009A3759" w:rsidRDefault="009A3759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522D2169" w14:textId="77777777" w:rsidR="00542E35" w:rsidRDefault="00542E35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  <w:sectPr w:rsidR="00542E3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00FA5A0F" w14:textId="5348FC86" w:rsidR="00EA7631" w:rsidRPr="00EA7631" w:rsidRDefault="00EA7631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EA7631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lastRenderedPageBreak/>
        <w:t>Implication:</w:t>
      </w:r>
    </w:p>
    <w:p w14:paraId="765EFAA3" w14:textId="77777777" w:rsidR="00542E35" w:rsidRPr="00542E35" w:rsidRDefault="00542E35" w:rsidP="00542E3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Krungthai</w:t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</w:t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COMPASS</w:t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คาดว่า กนง. อาจปรับขึ้นอัตราดอกเบี้ยอีก 1 ครั้ง ในการประชุมครั้งถัดไป ส่งผลให้อัตราดอกเบี้ยนโยบายขึ้นสู่ระดับ 2.0</w:t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%</w:t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 จากปัจจัยสนับสนุนดังนี้</w:t>
      </w:r>
    </w:p>
    <w:p w14:paraId="34C24111" w14:textId="5F093A57" w:rsidR="00542E35" w:rsidRDefault="00542E35" w:rsidP="00542E35">
      <w:pPr>
        <w:pStyle w:val="ListParagraph"/>
        <w:numPr>
          <w:ilvl w:val="0"/>
          <w:numId w:val="22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เศรษฐกิจไทยมีแนวโน้มฟื้นตัวต่อเนื่อง โดยมีแรงขับเคลื่อนจากภาคการท่องเที่ยวที่ฟื้นตัวชัดเจน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โดย กนง. คาดว่าเศรษฐกิจจะเติบโตต่อเนื่องโดยนักท่องเที่ยวต่างชาติมีแนวโน้มเพิ่มขึ้นถึง 28 ล้านคน จากเดิมที่คาดไว้ 25.5 ล้านคน ในการประชุมครั้งที่ 1/2566 เมื่อเดือน ม.ค. ใกล้เคียงกับที่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Krungthai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COMPASS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คาดว่านักท่องเที่ยวจะเข้ามา 27.1 ล้านคน โดยการเติบโตของภาคการท่องเที่ยวจะทำให้ภาคธุรกิจฟื้นตัวอย่างทั่วถึงมากขึ้นและส่งผลดีต่อการบริโภคภาคเอกชน ทั้งนี้แม้ว่า กนง. จะปรับลดประมาณการเศรษฐกิจในปีนี้ลดลงเป็นร้อยละ 3.6 จากเดิมที่คาดไว้ร้อยละ 3.7 ส่วนหนึ่งจากการส่งออกสินค้าซึ่งหดตัวในช่วงที่ผ่านมาแต่ กนง. มองว่าการส่งออกมีสัญญาณฟื้นตัวและจะกลับมาขยายตัวได้ในช่วงครึ่งปีหลังได้ </w:t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ด้วยมุมมองของ กนง. ที่ประเมินว่า เศรษฐกิจไทยมีแนวโน้มฟื้นตัวต่อเนื่อง </w:t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Krungthai COMPASS </w:t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คาดว่าปัจจัยดังกล่าวจะหนุนให้ กนง. ปรับดอกเบี้ยขึ้นต่อได้</w:t>
      </w:r>
    </w:p>
    <w:p w14:paraId="0010107F" w14:textId="77777777" w:rsidR="00542E35" w:rsidRPr="00542E35" w:rsidRDefault="00542E35" w:rsidP="00542E35">
      <w:pPr>
        <w:pStyle w:val="ListParagraph"/>
        <w:spacing w:line="360" w:lineRule="exact"/>
        <w:jc w:val="thaiDistribute"/>
        <w:rPr>
          <w:rFonts w:ascii="Cordia New" w:eastAsiaTheme="minorEastAsia" w:hAnsi="Cordia New" w:cs="Cordia New" w:hint="cs"/>
          <w:color w:val="000000" w:themeColor="text1"/>
          <w:kern w:val="24"/>
          <w:sz w:val="28"/>
          <w:cs/>
        </w:rPr>
      </w:pPr>
    </w:p>
    <w:p w14:paraId="1B46FAC6" w14:textId="77777777" w:rsidR="00542E35" w:rsidRPr="00542E35" w:rsidRDefault="00542E35" w:rsidP="00542E35">
      <w:pPr>
        <w:pStyle w:val="ListParagraph"/>
        <w:numPr>
          <w:ilvl w:val="0"/>
          <w:numId w:val="22"/>
        </w:num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</w:pP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กนง. มองว่าเงินเฟ้อมีความเสี่ยงที่จะอยู่ในระดับสูงนานกว่าคาด และกังวลแรงกดดันเงินเฟ้อด้านอุปสงค์ที่อาจเพิ่มขึ้น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ซึ่ง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Krungthai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COMPASS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ประเมินว่า แม้อัตราเงินเฟ้อจะมีแนวโน้มชะลอลงต่อเนื่องจากผลของฐานในปีก่อนที่ปรับเพิ่มขึ้นและปัจจัยกดดันจากด้านต้นทุน (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cost-push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เริ่มลดลง ซึ่งจะส่งผลให้อัตราเงินเฟ้อกลับเข้าสู่กรอบเป้าหมายภายในช่วงกลางปีนี้ และอัตราเงินเฟ้อพื้นฐาน (สัดส่วน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67.1%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ในตะกร้าเงินเฟ้อ) ได้ผ่านจุดสูงสุดไปแล้วเช่นกันจากราคาอาหาร (สัดส่วน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19.8%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 ที่ชะลอตัวลงเนื่องจากผู้ประกอบการได้ทยอยส่งผ่านต้นทุนที่เพิ่มสูงขึ้นไปยังราคาอาหารในช่วงปี 2565 แล้ว โดยส่วนใหญ่ผู้ประกอบการมักปรับขึ้นราคาสินค้าครั้งเดียว จึงคาดว่าราคาอาหารอาจจะปรับเพิ่มขึ้นอีกได้ไม่มากนัก อย่างไรก็ตาม อัตราเงินเฟ้อพื้นฐานที่ไม่รวมอาหาร (สัดส่วน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47.3%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) ยังไม่มีสัญญาณที่ชะลอลงและมีความเสี่ยงที่ผู้ประกอบการในบางภาคธุรกิจซึ่งแบกรับต้นทุนไว้อาจปรับราคาสินค้าขึ้นได้ อีกทั้ง ราคาสินค้าอาจถูกกดดันจากด้านอุปสงค์ (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demand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>-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pull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) หากเศรษฐกิจไทยฟื้นตัวแรงส่งผลให้อัตราเงินเฟ้อพื้นฐานมีแนวโน้มเพิ่มขึ้นได้อีก สะท้อนจากมุมมองของ กนง. ที่บ่งชี้ถึงความกังวลจากอัตราเงินเฟ้อซึ่งมีความเสี่ยงอยู่ในระดับสูงนานกว่าคาดจากการส่งผ่านต้นทุนที่อาจเพิ่มขึ้น เนื่องจากผู้ประกอบการเผชิญภาวะต้นทุนสูงต่อเนื่องและมีแรงกดดันเงินเฟ้อด้านอุปสงค์ที่เพิ่มขึ้นตามการฟื้นตัวของเศรษฐกิจ </w:t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 xml:space="preserve">Krungthai COMPASS </w:t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>จึงคาดว่า กนง. อาจปรับขึ้นอัตราดอกเบี้ยอีก 1 ครั้ง ในการประชุมครั้งถัดไป ส่งผลให้อัตราดอกเบี้ยนโยบายขึ้นสู่ระดับ 2.0</w:t>
      </w: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</w:rPr>
        <w:t>%</w:t>
      </w:r>
    </w:p>
    <w:p w14:paraId="654F96B0" w14:textId="77777777" w:rsidR="00542E35" w:rsidRDefault="00542E35" w:rsidP="00542E35">
      <w:pPr>
        <w:spacing w:line="360" w:lineRule="exact"/>
        <w:ind w:left="720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  <w:sectPr w:rsidR="00542E3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304F7AE8" w14:textId="52FA1485" w:rsidR="00542E35" w:rsidRPr="009A3759" w:rsidRDefault="00542E35" w:rsidP="00542E35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/>
          <w:noProof/>
          <w:color w:val="000000" w:themeColor="text1"/>
          <w:kern w:val="24"/>
          <w:sz w:val="28"/>
        </w:rPr>
        <w:lastRenderedPageBreak/>
        <w:drawing>
          <wp:anchor distT="0" distB="0" distL="114300" distR="114300" simplePos="0" relativeHeight="251661312" behindDoc="0" locked="0" layoutInCell="1" allowOverlap="1" wp14:anchorId="046A7893" wp14:editId="1F1E4859">
            <wp:simplePos x="0" y="0"/>
            <wp:positionH relativeFrom="column">
              <wp:posOffset>556260</wp:posOffset>
            </wp:positionH>
            <wp:positionV relativeFrom="paragraph">
              <wp:posOffset>83820</wp:posOffset>
            </wp:positionV>
            <wp:extent cx="5145024" cy="3377184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024" cy="3377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3D8EF" w14:textId="7B902885" w:rsidR="00542E35" w:rsidRDefault="00542E35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6534A34D" w14:textId="1B1623B6" w:rsidR="00542E35" w:rsidRDefault="00542E35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06025A16" w14:textId="09AD1491" w:rsidR="00542E35" w:rsidRDefault="00542E35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783EEBA1" w14:textId="5EF216CB" w:rsidR="00EA7631" w:rsidRDefault="00EA7631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086159D8" w14:textId="1847B2C1" w:rsidR="00542E35" w:rsidRDefault="00542E35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11A14E16" w14:textId="743D6FC4" w:rsidR="00542E35" w:rsidRDefault="00542E35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73F5A0DF" w14:textId="31296FCB" w:rsidR="00542E35" w:rsidRDefault="00542E35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1DB27E10" w14:textId="639AF1F2" w:rsidR="00542E35" w:rsidRDefault="00542E35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4A40AB5A" w14:textId="2DFA7EC0" w:rsidR="00542E35" w:rsidRDefault="00542E35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7DDD6A88" w14:textId="324CDAFE" w:rsidR="00542E35" w:rsidRDefault="00542E35" w:rsidP="00EA7631">
      <w:pPr>
        <w:spacing w:line="360" w:lineRule="exact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</w:p>
    <w:p w14:paraId="1712FBD7" w14:textId="77777777" w:rsidR="00542E35" w:rsidRPr="00542E35" w:rsidRDefault="00542E35" w:rsidP="00542E35">
      <w:pPr>
        <w:pStyle w:val="ListParagraph"/>
        <w:numPr>
          <w:ilvl w:val="0"/>
          <w:numId w:val="20"/>
        </w:numPr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 w:rsidRPr="00542E35">
        <w:rPr>
          <w:rFonts w:ascii="Cordia New" w:eastAsiaTheme="minorEastAsia" w:hAnsi="Cordia New" w:cs="Cordia New"/>
          <w:b/>
          <w:bCs/>
          <w:color w:val="000000" w:themeColor="text1"/>
          <w:kern w:val="24"/>
          <w:sz w:val="28"/>
          <w:cs/>
        </w:rPr>
        <w:t xml:space="preserve">สถาบันการเงินไทยยังมีเสถียรภาพดี สามารถรับมือกับความผันผวนที่อาจเกิดขึ้นจากปัญหาของสถาบันการเงินในต่างประเทศได้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แม้ว่าวิกฤตสถาบันการเงินโดยเฉพาะกรณี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SVB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Credit Suisse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จะกระทบต่อความเชื่อมั่นของนักลงทุน และสร้างความกังวลว่าเหตุการณ์ดังกล่าวอาจบานปลาย แต่การเข้ายุติปัญหาอย่างฉับพลันของทางการสามารถป้องกันการลุกลาม ทั้งยังเสริมสร้างความมั่นใจต่อระบบการเงิน ซึ่งอาจช่วยลดโอกาสที่โลกจะเผชิญวิกฤตการณ์ทางเศรษฐกิจครั้งใหม่ จากการประเมินสถานะของระบบสถาบันการเงิน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Krungthai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COMPASS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มองว่า ระบบการเงินของทั้งสหรัฐฯ และยุโรปโดยภาพรวมยังมีความเข้มแข็ง ทั้งในแง่เงินทุนเพื่อรับมือกับความเสี่ยงด้านเครดิต ความเพียงพอของสภาพคล่อง และสัดส่วนหนี้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NPL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ในระดับต่ำ ส่วนไทยและประเทศเพื่อนบ้านในเอเชียนั้นอยู่ในสถานะที่ดีกว่าชาติตะวันตก ส่วนหนึ่งเป็นผลจากความพยายามป้องกันมิให้เกิดปัญหาซ้ำรอยวิกฤตการเงินเมื่อปี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2540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ขึ้นอีก ในกรณีของไทย มีอัตราส่วนเงินกองทุนต่อสินทรัพย์เสี่ยง (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Capital adequacy ratio)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ถึง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19.4%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และมีอัตราการดำรงสินทรัพย์สภาพคล่องรองรับกระแสเงินไหลออกที่เพียงพอ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(Liquidity coverage ratio)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ณ ระดับ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197.3%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ถือเป็นอันดับสองในกลุ่ม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ASEAN-5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รองจากอินโดนีเซีย ด้านคุณภาพสินทรัพย์ ไทยมีอัตราส่วนหนี้ที่ไม่ก่อให้เกิดรายได้ต่อยอดหนี้รวมอยู่ที่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 xml:space="preserve">2.7%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เป็นไปตามเกณฑ์สากลที่กำหนดไว้ไม่ควรเกิน 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</w:rPr>
        <w:t>5%</w:t>
      </w:r>
      <w:r w:rsidRPr="00542E35"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t xml:space="preserve"> ฐานะของสถาบันการเงินไทยที่มีเสถียรภาพดี ถือเป็นอีกปัจจัยหนึ่งที่หนุนให้ ธปท. เดินหน้าขึ้นอัตราดอกเบี้ยได้ต่อไป </w:t>
      </w:r>
    </w:p>
    <w:p w14:paraId="1419AA00" w14:textId="77777777" w:rsidR="00542E35" w:rsidRDefault="00542E35" w:rsidP="00542E35">
      <w:pPr>
        <w:spacing w:line="360" w:lineRule="exact"/>
        <w:ind w:left="360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  <w:cs/>
        </w:rPr>
        <w:sectPr w:rsidR="00542E35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</w:p>
    <w:p w14:paraId="497A1837" w14:textId="2B2F5B4F" w:rsidR="00542E35" w:rsidRPr="00542E35" w:rsidRDefault="00542E35" w:rsidP="00542E35">
      <w:pPr>
        <w:spacing w:line="360" w:lineRule="exact"/>
        <w:ind w:left="360"/>
        <w:jc w:val="thaiDistribute"/>
        <w:rPr>
          <w:rFonts w:ascii="Cordia New" w:eastAsiaTheme="minorEastAsia" w:hAnsi="Cordia New" w:cs="Cordia New"/>
          <w:color w:val="000000" w:themeColor="text1"/>
          <w:kern w:val="24"/>
          <w:sz w:val="28"/>
        </w:rPr>
      </w:pPr>
      <w:r>
        <w:rPr>
          <w:rFonts w:ascii="Cordia New" w:eastAsiaTheme="minorEastAsia" w:hAnsi="Cordia New" w:cs="Cordia New" w:hint="cs"/>
          <w:noProof/>
          <w:color w:val="000000" w:themeColor="text1"/>
          <w:kern w:val="24"/>
          <w:sz w:val="28"/>
        </w:rPr>
        <w:lastRenderedPageBreak/>
        <w:drawing>
          <wp:anchor distT="0" distB="0" distL="114300" distR="114300" simplePos="0" relativeHeight="251662336" behindDoc="0" locked="0" layoutInCell="1" allowOverlap="1" wp14:anchorId="53816F0C" wp14:editId="59E20369">
            <wp:simplePos x="0" y="0"/>
            <wp:positionH relativeFrom="column">
              <wp:posOffset>464820</wp:posOffset>
            </wp:positionH>
            <wp:positionV relativeFrom="paragraph">
              <wp:posOffset>0</wp:posOffset>
            </wp:positionV>
            <wp:extent cx="5419090" cy="3669665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dia New" w:eastAsiaTheme="minorEastAsia" w:hAnsi="Cordia New" w:cs="Cordia New" w:hint="cs"/>
          <w:color w:val="000000" w:themeColor="text1"/>
          <w:kern w:val="24"/>
          <w:sz w:val="28"/>
          <w:cs/>
        </w:rPr>
        <w:t xml:space="preserve"> </w:t>
      </w:r>
    </w:p>
    <w:sectPr w:rsidR="00542E35" w:rsidRPr="00542E35" w:rsidSect="00CC442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4F69" w14:textId="77777777" w:rsidR="00485172" w:rsidRDefault="00485172" w:rsidP="00DE657B">
      <w:pPr>
        <w:spacing w:after="0" w:line="240" w:lineRule="auto"/>
      </w:pPr>
      <w:r>
        <w:separator/>
      </w:r>
    </w:p>
  </w:endnote>
  <w:endnote w:type="continuationSeparator" w:id="0">
    <w:p w14:paraId="0DEE835C" w14:textId="77777777" w:rsidR="00485172" w:rsidRDefault="00485172" w:rsidP="00D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52B7" w14:textId="77777777" w:rsidR="00485172" w:rsidRDefault="00485172" w:rsidP="00DE657B">
      <w:pPr>
        <w:spacing w:after="0" w:line="240" w:lineRule="auto"/>
      </w:pPr>
      <w:r>
        <w:separator/>
      </w:r>
    </w:p>
  </w:footnote>
  <w:footnote w:type="continuationSeparator" w:id="0">
    <w:p w14:paraId="35A07442" w14:textId="77777777" w:rsidR="00485172" w:rsidRDefault="00485172" w:rsidP="00DE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BF"/>
    <w:multiLevelType w:val="hybridMultilevel"/>
    <w:tmpl w:val="6E2E4948"/>
    <w:lvl w:ilvl="0" w:tplc="E418EE6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612218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B646F7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A5C62C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97A353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B0AF2A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D0810E2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056DBC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F00C29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90D6BC8"/>
    <w:multiLevelType w:val="hybridMultilevel"/>
    <w:tmpl w:val="589E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162"/>
    <w:multiLevelType w:val="hybridMultilevel"/>
    <w:tmpl w:val="13BC4FD2"/>
    <w:lvl w:ilvl="0" w:tplc="9D02E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F3CA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EA8D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5C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B1A2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A463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F6E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B766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0E41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6BD0A35"/>
    <w:multiLevelType w:val="hybridMultilevel"/>
    <w:tmpl w:val="A9EA0498"/>
    <w:lvl w:ilvl="0" w:tplc="7CBA505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228BE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1AC8FD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CAA000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88C7B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A72C7F2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77AD98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796F25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C66E2D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E752F67"/>
    <w:multiLevelType w:val="hybridMultilevel"/>
    <w:tmpl w:val="589E0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8CA1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3D8384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087A56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638668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038F73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49C9D4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EE663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BDE5A2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297D4CF8"/>
    <w:multiLevelType w:val="hybridMultilevel"/>
    <w:tmpl w:val="13B0B63E"/>
    <w:lvl w:ilvl="0" w:tplc="F934E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758D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5AA6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A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9D8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A8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92C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AC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5E0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29A13FB1"/>
    <w:multiLevelType w:val="hybridMultilevel"/>
    <w:tmpl w:val="251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A0619"/>
    <w:multiLevelType w:val="hybridMultilevel"/>
    <w:tmpl w:val="2C2AA1AE"/>
    <w:lvl w:ilvl="0" w:tplc="3110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28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294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06D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DB8B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C145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B4CC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4E0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7C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3488055A"/>
    <w:multiLevelType w:val="hybridMultilevel"/>
    <w:tmpl w:val="FA34499C"/>
    <w:lvl w:ilvl="0" w:tplc="57D4EA8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85C493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D7AE3C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84A06B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1E2617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788E66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B28506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E8AAF7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2945A1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364D5B6F"/>
    <w:multiLevelType w:val="hybridMultilevel"/>
    <w:tmpl w:val="149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84B2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5D8923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688071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E42184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5C0368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C04140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1E07E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2FE6D0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38DD2989"/>
    <w:multiLevelType w:val="hybridMultilevel"/>
    <w:tmpl w:val="6F440A06"/>
    <w:lvl w:ilvl="0" w:tplc="0174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BF6D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6C40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80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C2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978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3606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26C1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4480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3F3C3206"/>
    <w:multiLevelType w:val="hybridMultilevel"/>
    <w:tmpl w:val="FEF2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E6EF8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45C2DC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5EA444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3A8827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C7C978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25069D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93EB33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73698D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3F4877AE"/>
    <w:multiLevelType w:val="hybridMultilevel"/>
    <w:tmpl w:val="4BD815BE"/>
    <w:lvl w:ilvl="0" w:tplc="8B162F9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EBE6A6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1C8441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79CCC2E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9802E7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2E6A2E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A322E48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AAAFC8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C7AE178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444424F1"/>
    <w:multiLevelType w:val="hybridMultilevel"/>
    <w:tmpl w:val="EA2A0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62B6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DFC2AB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CA963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A54211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68AF9F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16C6C2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FAFF7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9C04C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452B5125"/>
    <w:multiLevelType w:val="hybridMultilevel"/>
    <w:tmpl w:val="547CB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E89A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310DDE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2F835B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F4C23F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FFE933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B241D4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8DC214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7E06D2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 w15:restartNumberingAfterBreak="0">
    <w:nsid w:val="46A20729"/>
    <w:multiLevelType w:val="hybridMultilevel"/>
    <w:tmpl w:val="AE8CC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C0BB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75EE46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ABCD76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186F7FE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DF4726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3A49A14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0527D70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31EA654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4FF5239C"/>
    <w:multiLevelType w:val="hybridMultilevel"/>
    <w:tmpl w:val="98F2191E"/>
    <w:lvl w:ilvl="0" w:tplc="DFA8D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ECE2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5D4B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88B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D8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8F8C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1AD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A48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8AC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54AC1D88"/>
    <w:multiLevelType w:val="hybridMultilevel"/>
    <w:tmpl w:val="DF1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1824"/>
    <w:multiLevelType w:val="hybridMultilevel"/>
    <w:tmpl w:val="988A5EAE"/>
    <w:lvl w:ilvl="0" w:tplc="C8E0E32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B0F0"/>
      </w:rPr>
    </w:lvl>
    <w:lvl w:ilvl="1" w:tplc="072ED2EA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128492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0412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C20172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42CD6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264700C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F6CBBEE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94CBB4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9" w15:restartNumberingAfterBreak="0">
    <w:nsid w:val="64822DCE"/>
    <w:multiLevelType w:val="hybridMultilevel"/>
    <w:tmpl w:val="19681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A368E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530B81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F56A3A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13E753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02A272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52799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76CC16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8BEC06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 w15:restartNumberingAfterBreak="0">
    <w:nsid w:val="74663092"/>
    <w:multiLevelType w:val="hybridMultilevel"/>
    <w:tmpl w:val="FC12DBDC"/>
    <w:lvl w:ilvl="0" w:tplc="0EFC3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4603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CB85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2B09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4AEE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A18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DAE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B1C3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8F88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7D2F52B6"/>
    <w:multiLevelType w:val="hybridMultilevel"/>
    <w:tmpl w:val="A69C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8209B"/>
    <w:multiLevelType w:val="hybridMultilevel"/>
    <w:tmpl w:val="4B80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06085"/>
    <w:multiLevelType w:val="hybridMultilevel"/>
    <w:tmpl w:val="3A44C606"/>
    <w:lvl w:ilvl="0" w:tplc="55E818AC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F64AE6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49C2A36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248E6D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E4206D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2FCE93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81CA2D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CE434D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546F01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 w16cid:durableId="628244568">
    <w:abstractNumId w:val="18"/>
  </w:num>
  <w:num w:numId="2" w16cid:durableId="1377467415">
    <w:abstractNumId w:val="17"/>
  </w:num>
  <w:num w:numId="3" w16cid:durableId="693961786">
    <w:abstractNumId w:val="13"/>
  </w:num>
  <w:num w:numId="4" w16cid:durableId="1530139745">
    <w:abstractNumId w:val="19"/>
  </w:num>
  <w:num w:numId="5" w16cid:durableId="1258127116">
    <w:abstractNumId w:val="8"/>
  </w:num>
  <w:num w:numId="6" w16cid:durableId="278877397">
    <w:abstractNumId w:val="9"/>
  </w:num>
  <w:num w:numId="7" w16cid:durableId="596980505">
    <w:abstractNumId w:val="4"/>
  </w:num>
  <w:num w:numId="8" w16cid:durableId="1776367502">
    <w:abstractNumId w:val="3"/>
  </w:num>
  <w:num w:numId="9" w16cid:durableId="1589919174">
    <w:abstractNumId w:val="23"/>
  </w:num>
  <w:num w:numId="10" w16cid:durableId="90324512">
    <w:abstractNumId w:val="15"/>
  </w:num>
  <w:num w:numId="11" w16cid:durableId="1385830458">
    <w:abstractNumId w:val="11"/>
  </w:num>
  <w:num w:numId="12" w16cid:durableId="68305955">
    <w:abstractNumId w:val="14"/>
  </w:num>
  <w:num w:numId="13" w16cid:durableId="1322467147">
    <w:abstractNumId w:val="0"/>
  </w:num>
  <w:num w:numId="14" w16cid:durableId="122234989">
    <w:abstractNumId w:val="16"/>
  </w:num>
  <w:num w:numId="15" w16cid:durableId="911163132">
    <w:abstractNumId w:val="10"/>
  </w:num>
  <w:num w:numId="16" w16cid:durableId="1367753610">
    <w:abstractNumId w:val="12"/>
  </w:num>
  <w:num w:numId="17" w16cid:durableId="2073576414">
    <w:abstractNumId w:val="20"/>
  </w:num>
  <w:num w:numId="18" w16cid:durableId="1685936421">
    <w:abstractNumId w:val="5"/>
  </w:num>
  <w:num w:numId="19" w16cid:durableId="1354958874">
    <w:abstractNumId w:val="7"/>
  </w:num>
  <w:num w:numId="20" w16cid:durableId="78185682">
    <w:abstractNumId w:val="1"/>
  </w:num>
  <w:num w:numId="21" w16cid:durableId="623971129">
    <w:abstractNumId w:val="2"/>
  </w:num>
  <w:num w:numId="22" w16cid:durableId="357050093">
    <w:abstractNumId w:val="22"/>
  </w:num>
  <w:num w:numId="23" w16cid:durableId="1603806900">
    <w:abstractNumId w:val="21"/>
  </w:num>
  <w:num w:numId="24" w16cid:durableId="6926500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C7"/>
    <w:rsid w:val="00000A74"/>
    <w:rsid w:val="00006BA1"/>
    <w:rsid w:val="000849CA"/>
    <w:rsid w:val="0009543F"/>
    <w:rsid w:val="000964D2"/>
    <w:rsid w:val="000A0C66"/>
    <w:rsid w:val="000A35AE"/>
    <w:rsid w:val="000E2C4D"/>
    <w:rsid w:val="000F1638"/>
    <w:rsid w:val="00101DE1"/>
    <w:rsid w:val="00101F22"/>
    <w:rsid w:val="0011314F"/>
    <w:rsid w:val="00117D96"/>
    <w:rsid w:val="001439F5"/>
    <w:rsid w:val="00146E1D"/>
    <w:rsid w:val="001634A5"/>
    <w:rsid w:val="00177E26"/>
    <w:rsid w:val="001A3315"/>
    <w:rsid w:val="001B77A2"/>
    <w:rsid w:val="001C5592"/>
    <w:rsid w:val="00234C3A"/>
    <w:rsid w:val="00242708"/>
    <w:rsid w:val="0029135D"/>
    <w:rsid w:val="00293DA0"/>
    <w:rsid w:val="002A15F6"/>
    <w:rsid w:val="002A3492"/>
    <w:rsid w:val="002B3211"/>
    <w:rsid w:val="002C1F85"/>
    <w:rsid w:val="00304FA9"/>
    <w:rsid w:val="003256BC"/>
    <w:rsid w:val="00331BAF"/>
    <w:rsid w:val="00356C1E"/>
    <w:rsid w:val="003579DC"/>
    <w:rsid w:val="00364A97"/>
    <w:rsid w:val="00376993"/>
    <w:rsid w:val="0038005C"/>
    <w:rsid w:val="003B54F9"/>
    <w:rsid w:val="003C2077"/>
    <w:rsid w:val="003C20D1"/>
    <w:rsid w:val="0042132A"/>
    <w:rsid w:val="00435A40"/>
    <w:rsid w:val="00455ABD"/>
    <w:rsid w:val="00485172"/>
    <w:rsid w:val="004E6FDF"/>
    <w:rsid w:val="004F29F1"/>
    <w:rsid w:val="004F64D8"/>
    <w:rsid w:val="00524452"/>
    <w:rsid w:val="005339EE"/>
    <w:rsid w:val="00542E35"/>
    <w:rsid w:val="005A2258"/>
    <w:rsid w:val="005A3394"/>
    <w:rsid w:val="005B6E7A"/>
    <w:rsid w:val="00605694"/>
    <w:rsid w:val="006310C7"/>
    <w:rsid w:val="00635174"/>
    <w:rsid w:val="0065091A"/>
    <w:rsid w:val="006528DF"/>
    <w:rsid w:val="006674EB"/>
    <w:rsid w:val="006811BB"/>
    <w:rsid w:val="006A03C1"/>
    <w:rsid w:val="006A0D2E"/>
    <w:rsid w:val="006A7C08"/>
    <w:rsid w:val="006E5493"/>
    <w:rsid w:val="006F7638"/>
    <w:rsid w:val="006F7F84"/>
    <w:rsid w:val="00744EC8"/>
    <w:rsid w:val="00762CD2"/>
    <w:rsid w:val="007714E9"/>
    <w:rsid w:val="0078048F"/>
    <w:rsid w:val="00780602"/>
    <w:rsid w:val="00783424"/>
    <w:rsid w:val="0079709D"/>
    <w:rsid w:val="007A1E31"/>
    <w:rsid w:val="007B073D"/>
    <w:rsid w:val="007E61D0"/>
    <w:rsid w:val="008058F3"/>
    <w:rsid w:val="008129D6"/>
    <w:rsid w:val="008301AA"/>
    <w:rsid w:val="00850E72"/>
    <w:rsid w:val="00876985"/>
    <w:rsid w:val="00896A1E"/>
    <w:rsid w:val="008B0A97"/>
    <w:rsid w:val="008D2712"/>
    <w:rsid w:val="008E0408"/>
    <w:rsid w:val="008E359F"/>
    <w:rsid w:val="00901197"/>
    <w:rsid w:val="009115B3"/>
    <w:rsid w:val="0092549E"/>
    <w:rsid w:val="00933653"/>
    <w:rsid w:val="00942C03"/>
    <w:rsid w:val="009676C3"/>
    <w:rsid w:val="00970127"/>
    <w:rsid w:val="00972319"/>
    <w:rsid w:val="009A1460"/>
    <w:rsid w:val="009A3759"/>
    <w:rsid w:val="009D0B82"/>
    <w:rsid w:val="009D404B"/>
    <w:rsid w:val="009F51D2"/>
    <w:rsid w:val="00A002ED"/>
    <w:rsid w:val="00A06662"/>
    <w:rsid w:val="00A1208D"/>
    <w:rsid w:val="00A33B22"/>
    <w:rsid w:val="00A46A21"/>
    <w:rsid w:val="00A86A1E"/>
    <w:rsid w:val="00A96C18"/>
    <w:rsid w:val="00AB4EA5"/>
    <w:rsid w:val="00AE435F"/>
    <w:rsid w:val="00B00512"/>
    <w:rsid w:val="00B24048"/>
    <w:rsid w:val="00B31870"/>
    <w:rsid w:val="00B5400A"/>
    <w:rsid w:val="00B67710"/>
    <w:rsid w:val="00B774C0"/>
    <w:rsid w:val="00BB39C4"/>
    <w:rsid w:val="00BC00EC"/>
    <w:rsid w:val="00BF1179"/>
    <w:rsid w:val="00BF619D"/>
    <w:rsid w:val="00BF77D0"/>
    <w:rsid w:val="00C00371"/>
    <w:rsid w:val="00C0102A"/>
    <w:rsid w:val="00C4630B"/>
    <w:rsid w:val="00C617AB"/>
    <w:rsid w:val="00C67FDD"/>
    <w:rsid w:val="00C72915"/>
    <w:rsid w:val="00C83FDE"/>
    <w:rsid w:val="00CA005D"/>
    <w:rsid w:val="00CC4422"/>
    <w:rsid w:val="00CC5EC7"/>
    <w:rsid w:val="00CD6683"/>
    <w:rsid w:val="00CE3151"/>
    <w:rsid w:val="00D2676D"/>
    <w:rsid w:val="00D528D2"/>
    <w:rsid w:val="00D62E7E"/>
    <w:rsid w:val="00D63A3F"/>
    <w:rsid w:val="00D96B5D"/>
    <w:rsid w:val="00DB1474"/>
    <w:rsid w:val="00DB7D97"/>
    <w:rsid w:val="00DC0474"/>
    <w:rsid w:val="00DC4437"/>
    <w:rsid w:val="00DC7A32"/>
    <w:rsid w:val="00DD236B"/>
    <w:rsid w:val="00DD7915"/>
    <w:rsid w:val="00DE0AED"/>
    <w:rsid w:val="00DE657B"/>
    <w:rsid w:val="00E0792F"/>
    <w:rsid w:val="00E20276"/>
    <w:rsid w:val="00E378EF"/>
    <w:rsid w:val="00E4159A"/>
    <w:rsid w:val="00E4244C"/>
    <w:rsid w:val="00E545C5"/>
    <w:rsid w:val="00E569C2"/>
    <w:rsid w:val="00E70B34"/>
    <w:rsid w:val="00EA7631"/>
    <w:rsid w:val="00EB763D"/>
    <w:rsid w:val="00EE0C46"/>
    <w:rsid w:val="00EF3F4C"/>
    <w:rsid w:val="00F016E2"/>
    <w:rsid w:val="00F072A5"/>
    <w:rsid w:val="00F23D61"/>
    <w:rsid w:val="00F844E8"/>
    <w:rsid w:val="00F96ABC"/>
    <w:rsid w:val="00FA4B34"/>
    <w:rsid w:val="00FB7102"/>
    <w:rsid w:val="00FC2BCD"/>
    <w:rsid w:val="00FC6E6B"/>
    <w:rsid w:val="00FE3975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92D"/>
  <w15:chartTrackingRefBased/>
  <w15:docId w15:val="{61B6F369-C114-45F4-8575-48D3809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E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E6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3"/>
  </w:style>
  <w:style w:type="paragraph" w:styleId="Footer">
    <w:name w:val="footer"/>
    <w:basedOn w:val="Normal"/>
    <w:link w:val="Foot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42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27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8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3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9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92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0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7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52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49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0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9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3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7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60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3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6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6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6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24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954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09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26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37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37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2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08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8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5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6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93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48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2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4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7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464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9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0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75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74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33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9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79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34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0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8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7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2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49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95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09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29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4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0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61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42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9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53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63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2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3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207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89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42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9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95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89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6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2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4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6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00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6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47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77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9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7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2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09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05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10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828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2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86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4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25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82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4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4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51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4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116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554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0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21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1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4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20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81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9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9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541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7">
          <w:marLeft w:val="139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81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70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9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2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06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6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18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5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46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56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95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2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3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68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6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F963-EB90-4349-ACB3-3A905BB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ปรเมศร์ รังสิพล</dc:creator>
  <cp:keywords/>
  <dc:description/>
  <cp:lastModifiedBy>Charuwan Laosumrit</cp:lastModifiedBy>
  <cp:revision>78</cp:revision>
  <dcterms:created xsi:type="dcterms:W3CDTF">2021-07-07T06:15:00Z</dcterms:created>
  <dcterms:modified xsi:type="dcterms:W3CDTF">2023-03-29T10:55:00Z</dcterms:modified>
</cp:coreProperties>
</file>