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8D69" w14:textId="29B90E6C" w:rsidR="00B61EC7" w:rsidRDefault="00E7417A" w:rsidP="00E7417A">
      <w:pPr>
        <w:spacing w:after="24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  <w:u w:val="single"/>
          <w:cs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1EAF215C" wp14:editId="3F9F915A">
            <wp:extent cx="1657350" cy="636537"/>
            <wp:effectExtent l="0" t="0" r="0" b="0"/>
            <wp:docPr id="1073741826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FCBD5" w14:textId="77777777" w:rsidR="00B61EC7" w:rsidRDefault="00E7417A" w:rsidP="00E7417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160" w:firstLine="720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ว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ประชาสัมพันธ์</w:t>
      </w:r>
    </w:p>
    <w:p w14:paraId="0CEDB6B6" w14:textId="2CCA8583" w:rsidR="00E7417A" w:rsidRDefault="00E7417A" w:rsidP="00E7417A">
      <w:pPr>
        <w:pStyle w:val="NormalWeb"/>
        <w:spacing w:before="240" w:beforeAutospacing="0" w:after="240" w:afterAutospacing="0"/>
        <w:jc w:val="thaiDistribute"/>
      </w:pPr>
      <w:bookmarkStart w:id="0" w:name="_heading=h.gjdgxs" w:colFirst="0" w:colLast="0"/>
      <w:bookmarkEnd w:id="0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“กรุงไทย” เกาะติดเทรนด์หุ้นจีนฟื้นตัว เสนอขาย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DR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อ้างอิงหุ้น “ผิงอัน” ยักษ์ใหญ่ธุรกิจประกัน และ “เน็ตอีส” บริษัทเกมชั้นนำ เปิดเทรด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15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มี.ค.นี้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</w:t>
      </w:r>
    </w:p>
    <w:p w14:paraId="16870F34" w14:textId="568A704E" w:rsidR="00E7417A" w:rsidRDefault="00E7417A" w:rsidP="00E7417A">
      <w:pPr>
        <w:pStyle w:val="NormalWeb"/>
        <w:spacing w:before="240" w:beforeAutospacing="0" w:after="240" w:afterAutospacing="0"/>
        <w:ind w:firstLine="66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“ธนาคารกรุงไทย” เกาะติดเทรนด์หุ้นจีนฟื้นตัวแข็งแกร่ง เตรียมเสนอขาย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DR 2 </w:t>
      </w:r>
      <w:r>
        <w:rPr>
          <w:rFonts w:ascii="Cordia New" w:hAnsi="Cordia New" w:cs="Cordia New"/>
          <w:color w:val="000000"/>
          <w:sz w:val="30"/>
          <w:szCs w:val="30"/>
          <w:cs/>
        </w:rPr>
        <w:t>ตัวใหม่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อ้างอิงหุ้นประกันยักษ์ใหญ่ของจีน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“ผิงอัน (</w:t>
      </w:r>
      <w:r>
        <w:rPr>
          <w:rFonts w:ascii="Cordia New" w:hAnsi="Cordia New" w:cs="Cordia New"/>
          <w:color w:val="000000"/>
          <w:sz w:val="30"/>
          <w:szCs w:val="30"/>
        </w:rPr>
        <w:t>Ping An</w:t>
      </w:r>
      <w:r>
        <w:rPr>
          <w:rFonts w:ascii="Cordia New" w:hAnsi="Cordia New" w:cs="Cordia New"/>
          <w:color w:val="000000"/>
          <w:sz w:val="30"/>
          <w:szCs w:val="30"/>
          <w:cs/>
        </w:rPr>
        <w:t>)”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  <w:r>
        <w:rPr>
          <w:rFonts w:ascii="Cordia New" w:hAnsi="Cordia New" w:cs="Cordia New"/>
          <w:color w:val="000000"/>
          <w:sz w:val="30"/>
          <w:szCs w:val="30"/>
          <w:cs/>
        </w:rPr>
        <w:t>และ หุ้นเกมชั้นนำของจีน “เน็ตอีส (</w:t>
      </w:r>
      <w:r>
        <w:rPr>
          <w:rFonts w:ascii="Cordia New" w:hAnsi="Cordia New" w:cs="Cordia New"/>
          <w:color w:val="000000"/>
          <w:sz w:val="30"/>
          <w:szCs w:val="30"/>
        </w:rPr>
        <w:t>NetEase</w:t>
      </w:r>
      <w:r>
        <w:rPr>
          <w:rFonts w:ascii="Cordia New" w:hAnsi="Cordia New" w:cs="Cordia New"/>
          <w:color w:val="000000"/>
          <w:sz w:val="30"/>
          <w:szCs w:val="30"/>
          <w:cs/>
        </w:rPr>
        <w:t>)”  ดีเด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ย์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เข้าเทรดในตลาดหุ้นไทย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มีนาคมนี้</w:t>
      </w:r>
    </w:p>
    <w:p w14:paraId="565F0260" w14:textId="75DF902F" w:rsidR="00E7417A" w:rsidRDefault="00E7417A" w:rsidP="00E7417A">
      <w:pPr>
        <w:pStyle w:val="NormalWeb"/>
        <w:spacing w:before="240" w:beforeAutospacing="0" w:after="240" w:afterAutospacing="0"/>
        <w:ind w:firstLine="66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จากกระแสตอบรับที่ดีในการเสนอขายตราสารแสดงสิทธิในหลักทรัพย์ต่างประเทศ ออกโดยธนาคารกรุงไทย (</w:t>
      </w:r>
      <w:r>
        <w:rPr>
          <w:rFonts w:ascii="Cordia New" w:hAnsi="Cordia New" w:cs="Cordia New"/>
          <w:color w:val="000000"/>
          <w:sz w:val="30"/>
          <w:szCs w:val="30"/>
        </w:rPr>
        <w:t>DR80</w:t>
      </w:r>
      <w:r>
        <w:rPr>
          <w:rFonts w:ascii="Cordia New" w:hAnsi="Cordia New" w:cs="Cordia New"/>
          <w:color w:val="000000"/>
          <w:sz w:val="30"/>
          <w:szCs w:val="30"/>
          <w:cs/>
        </w:rPr>
        <w:t>) ซึ่งอ้างอิงหุ้นบริษัทชั้นนำในตลาดโลก ทั้ง อาลีบาบา (</w:t>
      </w:r>
      <w:r>
        <w:rPr>
          <w:rFonts w:ascii="Cordia New" w:hAnsi="Cordia New" w:cs="Cordia New"/>
          <w:color w:val="000000"/>
          <w:sz w:val="30"/>
          <w:szCs w:val="30"/>
        </w:rPr>
        <w:t>BABA80</w:t>
      </w:r>
      <w:r>
        <w:rPr>
          <w:rFonts w:ascii="Cordia New" w:hAnsi="Cordia New" w:cs="Cordia New"/>
          <w:color w:val="000000"/>
          <w:sz w:val="30"/>
          <w:szCs w:val="30"/>
          <w:cs/>
        </w:rPr>
        <w:t>) แอปเปิ้ล (</w:t>
      </w:r>
      <w:r>
        <w:rPr>
          <w:rFonts w:ascii="Cordia New" w:hAnsi="Cordia New" w:cs="Cordia New"/>
          <w:color w:val="000000"/>
          <w:sz w:val="30"/>
          <w:szCs w:val="30"/>
        </w:rPr>
        <w:t>AAPL80X</w:t>
      </w:r>
      <w:r>
        <w:rPr>
          <w:rFonts w:ascii="Cordia New" w:hAnsi="Cordia New" w:cs="Cordia New"/>
          <w:color w:val="000000"/>
          <w:sz w:val="30"/>
          <w:szCs w:val="30"/>
          <w:cs/>
        </w:rPr>
        <w:t>) บีวายดี (</w:t>
      </w:r>
      <w:r>
        <w:rPr>
          <w:rFonts w:ascii="Cordia New" w:hAnsi="Cordia New" w:cs="Cordia New"/>
          <w:color w:val="000000"/>
          <w:sz w:val="30"/>
          <w:szCs w:val="30"/>
        </w:rPr>
        <w:t>BYDCOM80</w:t>
      </w:r>
      <w:r>
        <w:rPr>
          <w:rFonts w:ascii="Cordia New" w:hAnsi="Cordia New" w:cs="Cordia New"/>
          <w:color w:val="000000"/>
          <w:sz w:val="30"/>
          <w:szCs w:val="30"/>
          <w:cs/>
        </w:rPr>
        <w:t>) และเทสลา (</w:t>
      </w:r>
      <w:r>
        <w:rPr>
          <w:rFonts w:ascii="Cordia New" w:hAnsi="Cordia New" w:cs="Cordia New"/>
          <w:color w:val="000000"/>
          <w:sz w:val="30"/>
          <w:szCs w:val="30"/>
        </w:rPr>
        <w:t>TSLA80X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สะท้อนได้จากปริมาณการซื้อขายและมูลค่าตลาดที่เติบโตอย่างก้าวกระโดดในปี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ธนาคารเดินหน้าคัดสรรหุ้นต่างประเทศ เพื่อตอบโจทย์ผู้ลงทุนอย่างต่อเนื่อง ล่าสุด เตรียมออก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DR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อ้างอิงหุ้นสามัญบริษัท      ผิงอัน อินชัวรันซ์ (กรุ๊ป) ออฟ ไชน่า จำกัด 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PINGAN80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)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และ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บริษัท เน็ตอีส อิงค์ (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NETEASE80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)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ซึ่งจดทะเบียนในตลาดหลักทรัพย์ฮ่องกง (</w:t>
      </w:r>
      <w:r>
        <w:rPr>
          <w:rFonts w:ascii="Cordia New" w:hAnsi="Cordia New" w:cs="Cordia New"/>
          <w:color w:val="000000"/>
          <w:sz w:val="30"/>
          <w:szCs w:val="30"/>
        </w:rPr>
        <w:t>HKEX</w:t>
      </w:r>
      <w:r>
        <w:rPr>
          <w:rFonts w:ascii="Cordia New" w:hAnsi="Cordia New" w:cs="Cordia New"/>
          <w:color w:val="000000"/>
          <w:sz w:val="30"/>
          <w:szCs w:val="30"/>
          <w:cs/>
        </w:rPr>
        <w:t>) เสนอขายในตลาดหลักทรัพย์แห่งประเทศไทย (</w:t>
      </w:r>
      <w:r>
        <w:rPr>
          <w:rFonts w:ascii="Cordia New" w:hAnsi="Cordia New" w:cs="Cordia New"/>
          <w:color w:val="000000"/>
          <w:sz w:val="30"/>
          <w:szCs w:val="30"/>
        </w:rPr>
        <w:t>SET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ด้วยวิธี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Direct Listing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ตั้งแต่วันที่ </w:t>
      </w:r>
      <w:r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มีนาคม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2566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เป็นต้นไป โดยผู้ลงทุนไม่ต้องจองซื้อ และซื้อขายขั้นต่ำเพียง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หน่วย ด้วยสกุลเงินบาท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15EAF777" w14:textId="0C627A0C" w:rsidR="00E7417A" w:rsidRDefault="00E7417A" w:rsidP="00E7417A">
      <w:pPr>
        <w:pStyle w:val="NormalWeb"/>
        <w:spacing w:before="240" w:beforeAutospacing="0" w:after="240" w:afterAutospacing="0"/>
        <w:ind w:firstLine="66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>ทั้งนี้ หุ้นจีนเป็นทางเลือกที่น่าสนใจ สำหรับผู้ลงทุนที่สนใจลงทุนในหุ้นต่างประเทศ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จากปีที่ผ่านมาตลาดหุ้นจีนปรับตัวลดลงไปมาก อีกทั้งรัฐบาลจีนประกาศเปิดประเทศเมื่อปลายปี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2565 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พร้อมมีมาตรการกระตุ้นเศรษฐกิจออกมาอย่างต่อเนื่อง จึงมีโอกาสฟื้นตัวสูง โดย “ผิงอัน” เป็นบริษัทประกันขนาดใหญ่ที่สุดของจีน และอยู่ในอันดับต้นๆ ของโลก มีมูลค่าตลาดประมาณ 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 xml:space="preserve">4.5 </w:t>
      </w:r>
      <w:r w:rsidR="00F418DD" w:rsidRPr="00F418DD">
        <w:rPr>
          <w:rFonts w:ascii="Cordia New" w:hAnsi="Cordia New" w:cs="Cordia New" w:hint="cs"/>
          <w:color w:val="000000"/>
          <w:sz w:val="30"/>
          <w:szCs w:val="30"/>
          <w:cs/>
        </w:rPr>
        <w:t>ล้านล้านบาท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 xml:space="preserve"> (</w:t>
      </w:r>
      <w:r w:rsidR="00F418DD" w:rsidRPr="00F418DD">
        <w:rPr>
          <w:rFonts w:ascii="Cordia New" w:hAnsi="Cordia New" w:cs="Cordia New" w:hint="cs"/>
          <w:color w:val="000000"/>
          <w:sz w:val="30"/>
          <w:szCs w:val="30"/>
          <w:cs/>
        </w:rPr>
        <w:t>ข้อมูล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F418DD" w:rsidRPr="00F418DD">
        <w:rPr>
          <w:rFonts w:ascii="Cordia New" w:hAnsi="Cordia New" w:cs="Cordia New" w:hint="cs"/>
          <w:color w:val="000000"/>
          <w:sz w:val="30"/>
          <w:szCs w:val="30"/>
          <w:cs/>
        </w:rPr>
        <w:t>ณ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 xml:space="preserve"> 21 </w:t>
      </w:r>
      <w:r w:rsidR="00F418DD" w:rsidRPr="00F418DD">
        <w:rPr>
          <w:rFonts w:ascii="Cordia New" w:hAnsi="Cordia New" w:cs="Cordia New" w:hint="cs"/>
          <w:color w:val="000000"/>
          <w:sz w:val="30"/>
          <w:szCs w:val="30"/>
          <w:cs/>
        </w:rPr>
        <w:t>ก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>.</w:t>
      </w:r>
      <w:r w:rsidR="00F418DD" w:rsidRPr="00F418DD">
        <w:rPr>
          <w:rFonts w:ascii="Cordia New" w:hAnsi="Cordia New" w:cs="Cordia New" w:hint="cs"/>
          <w:color w:val="000000"/>
          <w:sz w:val="30"/>
          <w:szCs w:val="30"/>
          <w:cs/>
        </w:rPr>
        <w:t>พ</w:t>
      </w:r>
      <w:r w:rsidR="00F418DD" w:rsidRPr="00F418DD">
        <w:rPr>
          <w:rFonts w:ascii="Cordia New" w:hAnsi="Cordia New" w:cs="Cordia New"/>
          <w:color w:val="000000"/>
          <w:sz w:val="30"/>
          <w:szCs w:val="30"/>
          <w:cs/>
        </w:rPr>
        <w:t xml:space="preserve">. 66)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มีฐานลูกค้ารายย่อยจำนวน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225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ล้านราย และฐานลูกค้าออนไลน์จำนวน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668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ล้านราย (ข้อมูล ณ </w:t>
      </w:r>
      <w:r>
        <w:rPr>
          <w:rFonts w:ascii="Cordia New" w:hAnsi="Cordia New" w:cs="Cordia New"/>
          <w:color w:val="000000"/>
          <w:sz w:val="30"/>
          <w:szCs w:val="30"/>
        </w:rPr>
        <w:t xml:space="preserve">30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มิ.ย. </w:t>
      </w:r>
      <w:r>
        <w:rPr>
          <w:rFonts w:ascii="Cordia New" w:hAnsi="Cordia New" w:cs="Cordia New"/>
          <w:color w:val="000000"/>
          <w:sz w:val="30"/>
          <w:szCs w:val="30"/>
        </w:rPr>
        <w:t>65</w:t>
      </w:r>
      <w:r>
        <w:rPr>
          <w:rFonts w:ascii="Cordia New" w:hAnsi="Cordia New" w:cs="Cordia New"/>
          <w:color w:val="000000"/>
          <w:sz w:val="30"/>
          <w:szCs w:val="30"/>
          <w:cs/>
        </w:rPr>
        <w:t>)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มีโอกาสเติบโตสูง จากพฤติกรรมผู้บริโภคที่หันมาใส่ใจสุขภาพและบริหารความเสี่ยงมากขึ้น นอกจากนี้ ผิงอันยังมีนโยบายนำเทคโนโลยี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Fintech &amp;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Healthtech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ขับเคลื่อนธุรกิจในอนาคต</w:t>
      </w:r>
    </w:p>
    <w:p w14:paraId="72245ADB" w14:textId="44A95DF7" w:rsidR="00E7417A" w:rsidRDefault="00E7417A" w:rsidP="00E7417A">
      <w:pPr>
        <w:pStyle w:val="NormalWeb"/>
        <w:spacing w:before="240" w:beforeAutospacing="0" w:after="240" w:afterAutospacing="0"/>
        <w:ind w:firstLine="66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  <w:cs/>
        </w:rPr>
        <w:t>สำหรับ “เน็ตอีส” เป็นบริษัทเกมรายใหญ่อันดับต้นๆ ของจีน โดดเด่นในด้านการพัฒนาเกมออนไลน์ โดยลงทุนพัฒนาและวิจัย (</w:t>
      </w:r>
      <w:r>
        <w:rPr>
          <w:rFonts w:ascii="Cordia New" w:hAnsi="Cordia New" w:cs="Cordia New"/>
          <w:color w:val="000000"/>
          <w:sz w:val="30"/>
          <w:szCs w:val="30"/>
        </w:rPr>
        <w:t>R&amp;D</w:t>
      </w:r>
      <w:r>
        <w:rPr>
          <w:rFonts w:ascii="Cordia New" w:hAnsi="Cordia New" w:cs="Cordia New"/>
          <w:color w:val="000000"/>
          <w:sz w:val="30"/>
          <w:szCs w:val="30"/>
          <w:cs/>
        </w:rPr>
        <w:t>) อย่างต่อเนื่อง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มีธุรกิจการอนุญาตให้ใช้สิทธิ (</w:t>
      </w:r>
      <w:r>
        <w:rPr>
          <w:rFonts w:ascii="Cordia New" w:hAnsi="Cordia New" w:cs="Cordia New"/>
          <w:color w:val="000000"/>
          <w:sz w:val="30"/>
          <w:szCs w:val="30"/>
        </w:rPr>
        <w:t>Licensing</w:t>
      </w:r>
      <w:r>
        <w:rPr>
          <w:rFonts w:ascii="Cordia New" w:hAnsi="Cordia New" w:cs="Cordia New"/>
          <w:color w:val="000000"/>
          <w:sz w:val="30"/>
          <w:szCs w:val="30"/>
          <w:cs/>
        </w:rPr>
        <w:t>) ทั้งเกมในมือถือและคอมพิวเตอร์ รวมถึงให้บริการสื่อบันเทิงออนไลน์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รายได้เติบโตแบบก้าวกระโดด โดยไตรมาส </w:t>
      </w:r>
      <w:r>
        <w:rPr>
          <w:rFonts w:ascii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มีรายได้รวม </w:t>
      </w:r>
      <w:r>
        <w:rPr>
          <w:rFonts w:ascii="Cordia New" w:hAnsi="Cordia New" w:cs="Cordia New"/>
          <w:color w:val="000000"/>
          <w:sz w:val="30"/>
          <w:szCs w:val="30"/>
        </w:rPr>
        <w:t>7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hAnsi="Cordia New" w:cs="Cordia New"/>
          <w:color w:val="000000"/>
          <w:sz w:val="30"/>
          <w:szCs w:val="30"/>
          <w:cs/>
        </w:rPr>
        <w:t>หมื่นล้านหยวน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หรือ ประมาณ </w:t>
      </w:r>
      <w:r>
        <w:rPr>
          <w:rFonts w:ascii="Cordia New" w:hAnsi="Cordia New" w:cs="Cordia New"/>
          <w:color w:val="000000"/>
          <w:sz w:val="30"/>
          <w:szCs w:val="30"/>
        </w:rPr>
        <w:t>3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แสนล้านบาท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และขยายธุรกิจผ่านการเข้าซื้อกิจการในหลายประเทศ เช่น ญี่ปุ่น ฝรั่งเศส และ สหรัฐอเมริกา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พร้อมขยายเข้าไปทำธุรกิจ</w:t>
      </w:r>
      <w:r w:rsidR="001B30C4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อื่น </w:t>
      </w:r>
      <w:r w:rsidR="001B30C4">
        <w:rPr>
          <w:rFonts w:ascii="Cordia New" w:hAnsi="Cordia New" w:cs="Cordia New"/>
          <w:color w:val="000000"/>
          <w:sz w:val="30"/>
          <w:szCs w:val="30"/>
          <w:cs/>
        </w:rPr>
        <w:t>ๆ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เช่น แพลตฟอร์มสำหรับการฟังเพลงออนไลน์ หรือ ยูดาว ผู้ผลิตอุปกรณ์และแพลตฟอร์มสำหรับการเรียนการสอน เป็นต้น</w:t>
      </w:r>
    </w:p>
    <w:p w14:paraId="3086A406" w14:textId="384F451C" w:rsidR="00B46A92" w:rsidRDefault="00B46A92" w:rsidP="00E7417A">
      <w:pPr>
        <w:pStyle w:val="NormalWeb"/>
        <w:spacing w:before="240" w:beforeAutospacing="0" w:after="240" w:afterAutospacing="0"/>
        <w:ind w:firstLine="660"/>
        <w:jc w:val="thaiDistribute"/>
      </w:pPr>
    </w:p>
    <w:p w14:paraId="541B0F39" w14:textId="2D23E58F" w:rsidR="00B46A92" w:rsidRDefault="00B46A92" w:rsidP="00E7417A">
      <w:pPr>
        <w:pStyle w:val="NormalWeb"/>
        <w:spacing w:before="240" w:beforeAutospacing="0" w:after="240" w:afterAutospacing="0"/>
        <w:ind w:firstLine="660"/>
        <w:jc w:val="thaiDistribute"/>
      </w:pPr>
    </w:p>
    <w:p w14:paraId="552A6F59" w14:textId="57FE7F59" w:rsidR="00B46A92" w:rsidRDefault="00B46A92" w:rsidP="00E7417A">
      <w:pPr>
        <w:pStyle w:val="NormalWeb"/>
        <w:spacing w:before="240" w:beforeAutospacing="0" w:after="240" w:afterAutospacing="0"/>
        <w:ind w:firstLine="660"/>
        <w:jc w:val="thaiDistribute"/>
      </w:pPr>
    </w:p>
    <w:p w14:paraId="59686740" w14:textId="154DEE00" w:rsidR="00B46A92" w:rsidRDefault="00B46A92" w:rsidP="00E7417A">
      <w:pPr>
        <w:pStyle w:val="NormalWeb"/>
        <w:spacing w:before="240" w:beforeAutospacing="0" w:after="240" w:afterAutospacing="0"/>
        <w:ind w:firstLine="660"/>
        <w:jc w:val="thaiDistribute"/>
      </w:pPr>
    </w:p>
    <w:p w14:paraId="69B0311E" w14:textId="77777777" w:rsidR="00B46A92" w:rsidRDefault="00B46A92" w:rsidP="00E7417A">
      <w:pPr>
        <w:pStyle w:val="NormalWeb"/>
        <w:spacing w:before="240" w:beforeAutospacing="0" w:after="240" w:afterAutospacing="0"/>
        <w:ind w:firstLine="660"/>
        <w:jc w:val="thaiDistribute"/>
        <w:rPr>
          <w:rFonts w:hint="cs"/>
        </w:rPr>
      </w:pPr>
      <w:bookmarkStart w:id="1" w:name="_GoBack"/>
      <w:bookmarkEnd w:id="1"/>
    </w:p>
    <w:p w14:paraId="77BE8076" w14:textId="77777777" w:rsidR="00E7417A" w:rsidRDefault="00E7417A" w:rsidP="00E7417A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การเสนอขาย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DR </w:t>
      </w:r>
      <w:r>
        <w:rPr>
          <w:rFonts w:ascii="Cordia New" w:hAnsi="Cordia New" w:cs="Cordia New"/>
          <w:color w:val="000000"/>
          <w:sz w:val="30"/>
          <w:szCs w:val="30"/>
          <w:cs/>
        </w:rPr>
        <w:t>ครั้งนี้ สอดคล้องกับการดำเนินงานของธนาคาร ที่ให้ความสำคัญกับสิ่งแวดล้อม สังคม และธรรมา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ภิ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บาล (</w:t>
      </w:r>
      <w:r>
        <w:rPr>
          <w:rFonts w:ascii="Cordia New" w:hAnsi="Cordia New" w:cs="Cordia New"/>
          <w:color w:val="000000"/>
          <w:sz w:val="30"/>
          <w:szCs w:val="30"/>
        </w:rPr>
        <w:t>ESG</w:t>
      </w:r>
      <w:r>
        <w:rPr>
          <w:rFonts w:ascii="Cordia New" w:hAnsi="Cordia New" w:cs="Cordia New"/>
          <w:color w:val="000000"/>
          <w:sz w:val="30"/>
          <w:szCs w:val="30"/>
          <w:cs/>
        </w:rPr>
        <w:t>) ตอบโจทย์เป้าหมายการพัฒนาอย่างยั่งยืน (</w:t>
      </w:r>
      <w:r>
        <w:rPr>
          <w:rFonts w:ascii="Cordia New" w:hAnsi="Cordia New" w:cs="Cordia New"/>
          <w:color w:val="000000"/>
          <w:sz w:val="30"/>
          <w:szCs w:val="30"/>
        </w:rPr>
        <w:t>SDGs</w:t>
      </w:r>
      <w:r>
        <w:rPr>
          <w:rFonts w:ascii="Cordia New" w:hAnsi="Cordia New" w:cs="Cordia New"/>
          <w:color w:val="000000"/>
          <w:sz w:val="30"/>
          <w:szCs w:val="30"/>
          <w:cs/>
        </w:rPr>
        <w:t>) ทั้งการแก้ปัญหาสิ่งแวดล้อม และการลดความเหลื่อมล้ำ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ด้วยผลิตภัณฑ์แบบไร้กระดาษ (</w:t>
      </w:r>
      <w:r>
        <w:rPr>
          <w:rFonts w:ascii="Cordia New" w:hAnsi="Cordia New" w:cs="Cordia New"/>
          <w:color w:val="000000"/>
          <w:sz w:val="30"/>
          <w:szCs w:val="30"/>
        </w:rPr>
        <w:t>Paperless</w:t>
      </w:r>
      <w:r>
        <w:rPr>
          <w:rFonts w:ascii="Cordia New" w:hAnsi="Cordia New" w:cs="Cordia New"/>
          <w:color w:val="000000"/>
          <w:sz w:val="30"/>
          <w:szCs w:val="30"/>
          <w:cs/>
        </w:rPr>
        <w:t>)   ทำรายการซื้อขายผ่านแอปพลิ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ชัน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Streaming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Settrade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ได้ทันที ช่วยให้ผู้ลงทุนเข้าถึงการลงทุนได้ทั่วถึง เท่าเทียม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นอกจากนี้ ทั้งสองบริษัทให้ความสำคัญกับการทำธุรกิจอย่างยั่งยืน มีการวัดผลการดำเนินงานและผ่านเกณฑ์ </w:t>
      </w:r>
      <w:r>
        <w:rPr>
          <w:rFonts w:ascii="Cordia New" w:hAnsi="Cordia New" w:cs="Cordia New"/>
          <w:color w:val="000000"/>
          <w:sz w:val="30"/>
          <w:szCs w:val="30"/>
        </w:rPr>
        <w:t xml:space="preserve">ESG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โดยผิงอัน เป็นบริษัทจีนบริษัทแรกที่เข้าร่วม </w:t>
      </w:r>
      <w:r>
        <w:rPr>
          <w:rFonts w:ascii="Cordia New" w:hAnsi="Cordia New" w:cs="Cordia New"/>
          <w:color w:val="000000"/>
          <w:sz w:val="30"/>
          <w:szCs w:val="30"/>
        </w:rPr>
        <w:t>Climate Action 100</w:t>
      </w:r>
      <w:r>
        <w:rPr>
          <w:rFonts w:ascii="Cordia New" w:hAnsi="Cordia New" w:cs="Cordia New"/>
          <w:color w:val="000000"/>
          <w:sz w:val="30"/>
          <w:szCs w:val="30"/>
          <w:cs/>
        </w:rPr>
        <w:t>+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สะท้อนความมุ่งมั่นบริหารจัดการเรื่องการเปลี่ยนแปลงสภาพภูมิอากาศ สำหรับเน็ตอีส ได้รับคัดเลือกให้เป็นสมาชิก </w:t>
      </w:r>
      <w:r>
        <w:rPr>
          <w:rFonts w:ascii="Cordia New" w:hAnsi="Cordia New" w:cs="Cordia New"/>
          <w:color w:val="000000"/>
          <w:sz w:val="30"/>
          <w:szCs w:val="30"/>
        </w:rPr>
        <w:t xml:space="preserve">Dow Jones Sustainability World Index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ประจำปี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 ดัชนี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Dow Jones Sustainability Emerging Markets Index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เป็นครั้งแรก</w:t>
      </w:r>
      <w:r>
        <w:rPr>
          <w:rFonts w:ascii="Cordia New" w:hAnsi="Cordia New" w:cs="Cordia New"/>
          <w:color w:val="000000"/>
          <w:sz w:val="30"/>
          <w:szCs w:val="30"/>
        </w:rPr>
        <w:t>  </w:t>
      </w:r>
    </w:p>
    <w:p w14:paraId="30328F45" w14:textId="2E03E92E" w:rsidR="00B61EC7" w:rsidRDefault="00E7417A" w:rsidP="00E7417A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Angsana New" w:hAnsi="Angsana New" w:cs="Angsana New"/>
          <w:color w:val="000000"/>
        </w:rPr>
        <w:t>    </w:t>
      </w:r>
      <w:r>
        <w:rPr>
          <w:rStyle w:val="apple-tab-span"/>
          <w:rFonts w:ascii="Angsana New" w:hAnsi="Angsana New" w:cs="Angsana New"/>
          <w:color w:val="00000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สำหรับผู้ลงทุนที่สนใจ สอบถามรายละเอียดเพิ่มเติมได้ที่ธนาคารกรุงไทยทุกสาขาหรือ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Contact Center 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>
        <w:rPr>
          <w:rFonts w:ascii="Cordia New" w:hAnsi="Cordia New" w:cs="Cordia New"/>
          <w:color w:val="000000"/>
          <w:sz w:val="30"/>
          <w:szCs w:val="30"/>
        </w:rPr>
        <w:t>02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>111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1111 </w:t>
      </w:r>
      <w:r>
        <w:rPr>
          <w:rFonts w:ascii="Cordia New" w:hAnsi="Cordia New" w:cs="Cordia New"/>
          <w:color w:val="000000"/>
          <w:sz w:val="30"/>
          <w:szCs w:val="30"/>
          <w:cs/>
        </w:rPr>
        <w:t>หรือ</w:t>
      </w:r>
      <w:hyperlink r:id="rId7" w:history="1">
        <w:r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 xml:space="preserve"> www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.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krungthai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  <w:cs/>
          </w:rPr>
          <w:t>.</w:t>
        </w:r>
        <w:r>
          <w:rPr>
            <w:rStyle w:val="Hyperlink"/>
            <w:rFonts w:ascii="Cordia New" w:hAnsi="Cordia New" w:cs="Cordia New"/>
            <w:color w:val="000000"/>
            <w:sz w:val="30"/>
            <w:szCs w:val="30"/>
          </w:rPr>
          <w:t>com</w:t>
        </w:r>
      </w:hyperlink>
    </w:p>
    <w:p w14:paraId="09326C38" w14:textId="77777777" w:rsidR="00E7417A" w:rsidRDefault="00E7417A" w:rsidP="00E7417A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14:paraId="1A4F00D7" w14:textId="2296AB32" w:rsidR="00E7417A" w:rsidRPr="00E7417A" w:rsidRDefault="00E7417A" w:rsidP="00E7417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7417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E7417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14:paraId="63DFFA6A" w14:textId="248113BD" w:rsidR="00E7417A" w:rsidRPr="00E7417A" w:rsidRDefault="00D90C0E" w:rsidP="00E7417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28</w:t>
      </w:r>
      <w:r w:rsidR="00E7417A" w:rsidRPr="00E7417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E7417A" w:rsidRPr="00E7417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กุมภาพันธ์ </w:t>
      </w:r>
      <w:r w:rsidR="00E7417A" w:rsidRPr="00E7417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14:paraId="67155EE7" w14:textId="77777777" w:rsidR="00E7417A" w:rsidRDefault="00E7417A" w:rsidP="00E7417A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752A00EA" w14:textId="6772176D" w:rsidR="00E7417A" w:rsidRDefault="00E7417A" w:rsidP="00E7417A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1EF9ABB5" w14:textId="70B01433" w:rsidR="00E7417A" w:rsidRDefault="00E7417A" w:rsidP="00E7417A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E7417A" w:rsidSect="00E7417A">
      <w:pgSz w:w="11906" w:h="16838"/>
      <w:pgMar w:top="567" w:right="1133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0242F"/>
    <w:multiLevelType w:val="multilevel"/>
    <w:tmpl w:val="D3969E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C7"/>
    <w:rsid w:val="00096B42"/>
    <w:rsid w:val="001B30C4"/>
    <w:rsid w:val="001D7A75"/>
    <w:rsid w:val="00263FA6"/>
    <w:rsid w:val="004F0E17"/>
    <w:rsid w:val="006545A0"/>
    <w:rsid w:val="007224D6"/>
    <w:rsid w:val="00A67AA4"/>
    <w:rsid w:val="00B46A92"/>
    <w:rsid w:val="00B61EC7"/>
    <w:rsid w:val="00C10909"/>
    <w:rsid w:val="00D90C0E"/>
    <w:rsid w:val="00E7417A"/>
    <w:rsid w:val="00E762D1"/>
    <w:rsid w:val="00F16D39"/>
    <w:rsid w:val="00F205B1"/>
    <w:rsid w:val="00F418DD"/>
    <w:rsid w:val="00F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14D7"/>
  <w15:docId w15:val="{055266E2-460E-4DEF-8044-B2BFB19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character" w:customStyle="1" w:styleId="NoneA">
    <w:name w:val="None A"/>
    <w:rsid w:val="007C5225"/>
    <w:rPr>
      <w:lang w:val="en-US"/>
    </w:rPr>
  </w:style>
  <w:style w:type="paragraph" w:styleId="ListParagraph">
    <w:name w:val="List Paragraph"/>
    <w:basedOn w:val="Normal"/>
    <w:uiPriority w:val="34"/>
    <w:qFormat/>
    <w:rsid w:val="007C5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4E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ngtha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KhD/34U64bdlvShiHvXUPtOduw==">AMUW2mUJip3Rfpp4aiETTDn9bactSZnNHUazFoyg37/HcwF2iQX5bOFBCtmMd3Olukrlc3RglqzzJjS5MO5oaVZVdwp3wXsSgxOjWu1fsh8i/T1d1kfhdihhdPouwkjaawhyAIlAmQll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4</cp:revision>
  <dcterms:created xsi:type="dcterms:W3CDTF">2023-02-28T03:30:00Z</dcterms:created>
  <dcterms:modified xsi:type="dcterms:W3CDTF">2023-02-28T07:45:00Z</dcterms:modified>
</cp:coreProperties>
</file>