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7514" w14:textId="5BA7AADE" w:rsidR="001B5EC2" w:rsidRDefault="001B5EC2"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59264" behindDoc="0" locked="0" layoutInCell="1" hidden="0" allowOverlap="1" wp14:anchorId="7401EC23" wp14:editId="66DB3903">
            <wp:simplePos x="0" y="0"/>
            <wp:positionH relativeFrom="margin">
              <wp:posOffset>-22860</wp:posOffset>
            </wp:positionH>
            <wp:positionV relativeFrom="paragraph">
              <wp:posOffset>0</wp:posOffset>
            </wp:positionV>
            <wp:extent cx="2089785" cy="648970"/>
            <wp:effectExtent l="0" t="0" r="571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AFBD2D" w14:textId="5FC423F5" w:rsidR="001B5EC2" w:rsidRDefault="001B5EC2"/>
    <w:p w14:paraId="36395F0D" w14:textId="4A52ED73" w:rsidR="003B6B11" w:rsidRPr="006238B3" w:rsidRDefault="003B6B11">
      <w:pPr>
        <w:rPr>
          <w:rFonts w:ascii="TH Sarabun New" w:hAnsi="TH Sarabun New" w:cs="TH Sarabun New"/>
          <w:sz w:val="32"/>
          <w:szCs w:val="32"/>
        </w:rPr>
      </w:pPr>
    </w:p>
    <w:p w14:paraId="6A6C36B5" w14:textId="31B29C59" w:rsidR="001B5EC2" w:rsidRPr="006238B3" w:rsidRDefault="001B5EC2">
      <w:pPr>
        <w:rPr>
          <w:rFonts w:ascii="TH Sarabun New" w:hAnsi="TH Sarabun New" w:cs="TH Sarabun New"/>
          <w:sz w:val="32"/>
          <w:szCs w:val="32"/>
        </w:rPr>
      </w:pPr>
      <w:r w:rsidRPr="006238B3">
        <w:rPr>
          <w:rFonts w:ascii="TH Sarabun New" w:hAnsi="TH Sarabun New" w:cs="TH Sarabun New"/>
          <w:sz w:val="32"/>
          <w:szCs w:val="32"/>
          <w:cs/>
        </w:rPr>
        <w:t>ที่ ปส.</w:t>
      </w:r>
      <w:r w:rsidRPr="006238B3">
        <w:rPr>
          <w:rFonts w:ascii="TH Sarabun New" w:hAnsi="TH Sarabun New" w:cs="TH Sarabun New"/>
          <w:sz w:val="32"/>
          <w:szCs w:val="32"/>
        </w:rPr>
        <w:t xml:space="preserve"> </w:t>
      </w:r>
      <w:r w:rsidR="004710EC" w:rsidRPr="006238B3">
        <w:rPr>
          <w:rFonts w:ascii="TH Sarabun New" w:hAnsi="TH Sarabun New" w:cs="TH Sarabun New"/>
          <w:sz w:val="32"/>
          <w:szCs w:val="32"/>
        </w:rPr>
        <w:t>0</w:t>
      </w:r>
      <w:r w:rsidR="004D18D9" w:rsidRPr="006238B3">
        <w:rPr>
          <w:rFonts w:ascii="TH Sarabun New" w:hAnsi="TH Sarabun New" w:cs="TH Sarabun New"/>
          <w:sz w:val="32"/>
          <w:szCs w:val="32"/>
        </w:rPr>
        <w:t>1</w:t>
      </w:r>
      <w:r w:rsidR="009667CF" w:rsidRPr="006238B3">
        <w:rPr>
          <w:rFonts w:ascii="TH Sarabun New" w:hAnsi="TH Sarabun New" w:cs="TH Sarabun New"/>
          <w:sz w:val="32"/>
          <w:szCs w:val="32"/>
        </w:rPr>
        <w:t>2</w:t>
      </w:r>
      <w:r w:rsidRPr="006238B3">
        <w:rPr>
          <w:rFonts w:ascii="TH Sarabun New" w:hAnsi="TH Sarabun New" w:cs="TH Sarabun New"/>
          <w:sz w:val="32"/>
          <w:szCs w:val="32"/>
        </w:rPr>
        <w:t xml:space="preserve"> /2566</w:t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</w:rPr>
        <w:tab/>
      </w:r>
      <w:r w:rsidRPr="006238B3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9667CF" w:rsidRPr="006238B3">
        <w:rPr>
          <w:rFonts w:ascii="TH Sarabun New" w:hAnsi="TH Sarabun New" w:cs="TH Sarabun New"/>
          <w:sz w:val="32"/>
          <w:szCs w:val="32"/>
          <w:cs/>
        </w:rPr>
        <w:t>15</w:t>
      </w:r>
      <w:r w:rsidR="004D18D9" w:rsidRPr="006238B3">
        <w:rPr>
          <w:rFonts w:ascii="TH Sarabun New" w:hAnsi="TH Sarabun New" w:cs="TH Sarabun New"/>
          <w:sz w:val="32"/>
          <w:szCs w:val="32"/>
          <w:cs/>
        </w:rPr>
        <w:t xml:space="preserve"> กุมภาพันธ์</w:t>
      </w:r>
      <w:r w:rsidRPr="006238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38B3">
        <w:rPr>
          <w:rFonts w:ascii="TH Sarabun New" w:hAnsi="TH Sarabun New" w:cs="TH Sarabun New"/>
          <w:sz w:val="32"/>
          <w:szCs w:val="32"/>
        </w:rPr>
        <w:t>2566</w:t>
      </w:r>
    </w:p>
    <w:p w14:paraId="14759EF8" w14:textId="0220EB47" w:rsidR="006238B3" w:rsidRPr="006238B3" w:rsidRDefault="006238B3" w:rsidP="006238B3">
      <w:pPr>
        <w:shd w:val="clear" w:color="auto" w:fill="FFFFFF"/>
        <w:spacing w:after="0" w:line="450" w:lineRule="atLeast"/>
        <w:jc w:val="center"/>
        <w:textAlignment w:val="baseline"/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14:ligatures w14:val="none"/>
        </w:rPr>
      </w:pP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ไอแบงก์ ปรับอัตราผลตอบแทนเงินฝากจำพิเศษ มอบผลตอบแทนสูงสุด 1.50% ต่อปี</w:t>
      </w:r>
    </w:p>
    <w:p w14:paraId="2C437BBF" w14:textId="419F32B0" w:rsidR="006238B3" w:rsidRPr="006238B3" w:rsidRDefault="006238B3" w:rsidP="006238B3">
      <w:pPr>
        <w:shd w:val="clear" w:color="auto" w:fill="FFFFFF"/>
        <w:spacing w:after="0" w:line="450" w:lineRule="atLeast"/>
        <w:jc w:val="center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</w:pPr>
      <w:r>
        <w:rPr>
          <w:noProof/>
        </w:rPr>
        <w:drawing>
          <wp:inline distT="0" distB="0" distL="0" distR="0" wp14:anchorId="779BD02A" wp14:editId="60C35BA2">
            <wp:extent cx="3168650" cy="31559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8EEEC" w14:textId="7F604BA8" w:rsidR="006238B3" w:rsidRPr="006238B3" w:rsidRDefault="006238B3" w:rsidP="006238B3">
      <w:pPr>
        <w:shd w:val="clear" w:color="auto" w:fill="FFFFFF"/>
        <w:spacing w:after="0" w:line="450" w:lineRule="atLeast"/>
        <w:ind w:firstLine="720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ธนาคารอิสลามแห่งประเทศไทย (ไอแบงก์)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 ปรับอัตราผลตอบแทนที่คาดว่าจะได้รับ สำหรับเงินฝากประจำพิเศษ ทั้งแบบระยะเวลาการฝาก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4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เดือน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7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เดือน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13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เดือน และ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24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เดือน ให้ผลตอบแทนที่คาดว่าจะได้รับสูงสุดถึง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1.50%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ต่อปี จ่ายผลตอบแทนทุกเดือน เปิดบัญชีขั้นต่ำ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5,000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บาท ฝากได้สูงสุดไม่เกิน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20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ล้านบาทต่อราย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> </w:t>
      </w:r>
    </w:p>
    <w:p w14:paraId="54E2DF8D" w14:textId="77777777" w:rsidR="006238B3" w:rsidRPr="006238B3" w:rsidRDefault="006238B3" w:rsidP="006238B3">
      <w:pPr>
        <w:shd w:val="clear" w:color="auto" w:fill="FFFFFF"/>
        <w:spacing w:after="0" w:line="450" w:lineRule="atLeast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> </w:t>
      </w:r>
    </w:p>
    <w:p w14:paraId="1EA6FBF7" w14:textId="77777777" w:rsidR="006238B3" w:rsidRPr="006238B3" w:rsidRDefault="006238B3" w:rsidP="006238B3">
      <w:pPr>
        <w:shd w:val="clear" w:color="auto" w:fill="FFFFFF"/>
        <w:spacing w:after="0" w:line="450" w:lineRule="atLeast"/>
        <w:ind w:firstLine="720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ไอแบงก์ ได้ทำการปรับอัตราผลตอบแทนเงินฝากประจำพิเศษ เพื่อสนองคนรักการออม โดยผู้ฝากสามารถเลือกระยะเวลาการฝากได้ตามต้องการ เริ่มต้นที่ระยะเวลาการฝากต่ำสุด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4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เดือน สูงสุด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24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เดือน มีผลตอบแทนที่คาดว่าจะได้รับตามอัตราดังนี้</w:t>
      </w:r>
    </w:p>
    <w:p w14:paraId="071D011C" w14:textId="39E74539" w:rsidR="006238B3" w:rsidRDefault="006238B3" w:rsidP="006238B3">
      <w:pPr>
        <w:shd w:val="clear" w:color="auto" w:fill="FFFFFF"/>
        <w:spacing w:line="450" w:lineRule="atLeast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> </w:t>
      </w:r>
    </w:p>
    <w:p w14:paraId="78577D56" w14:textId="4F704015" w:rsidR="006238B3" w:rsidRDefault="006238B3" w:rsidP="006238B3">
      <w:pPr>
        <w:shd w:val="clear" w:color="auto" w:fill="FFFFFF"/>
        <w:spacing w:line="450" w:lineRule="atLeast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</w:p>
    <w:p w14:paraId="20573894" w14:textId="4D223C2A" w:rsidR="006238B3" w:rsidRDefault="006238B3" w:rsidP="006238B3">
      <w:pPr>
        <w:shd w:val="clear" w:color="auto" w:fill="FFFFFF"/>
        <w:spacing w:line="450" w:lineRule="atLeast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</w:p>
    <w:p w14:paraId="2B4B01B8" w14:textId="77777777" w:rsidR="006238B3" w:rsidRPr="006238B3" w:rsidRDefault="006238B3" w:rsidP="006238B3">
      <w:pPr>
        <w:shd w:val="clear" w:color="auto" w:fill="FFFFFF"/>
        <w:spacing w:line="450" w:lineRule="atLeast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</w:p>
    <w:tbl>
      <w:tblPr>
        <w:tblStyle w:val="TableGridLight"/>
        <w:tblW w:w="4800" w:type="pct"/>
        <w:tblLook w:val="04A0" w:firstRow="1" w:lastRow="0" w:firstColumn="1" w:lastColumn="0" w:noHBand="0" w:noVBand="1"/>
      </w:tblPr>
      <w:tblGrid>
        <w:gridCol w:w="4174"/>
        <w:gridCol w:w="5049"/>
      </w:tblGrid>
      <w:tr w:rsidR="006238B3" w:rsidRPr="006238B3" w14:paraId="674A9B6D" w14:textId="77777777" w:rsidTr="006238B3">
        <w:trPr>
          <w:trHeight w:val="20"/>
        </w:trPr>
        <w:tc>
          <w:tcPr>
            <w:tcW w:w="2150" w:type="pct"/>
            <w:hideMark/>
          </w:tcPr>
          <w:p w14:paraId="7EC0427F" w14:textId="77777777" w:rsidR="006238B3" w:rsidRPr="006238B3" w:rsidRDefault="006238B3" w:rsidP="006238B3">
            <w:pPr>
              <w:spacing w:line="450" w:lineRule="atLeast"/>
              <w:jc w:val="center"/>
              <w:textAlignment w:val="baseline"/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</w:pPr>
            <w:r w:rsidRPr="006238B3">
              <w:rPr>
                <w:rFonts w:ascii="TH Sarabun New" w:eastAsia="Times New Roman" w:hAnsi="TH Sarabun New" w:cs="TH Sarabun New"/>
                <w:b/>
                <w:bCs/>
                <w:color w:val="333333"/>
                <w:kern w:val="0"/>
                <w:sz w:val="32"/>
                <w:szCs w:val="32"/>
                <w:cs/>
                <w14:ligatures w14:val="none"/>
              </w:rPr>
              <w:lastRenderedPageBreak/>
              <w:t>ระยะเวลา</w:t>
            </w:r>
          </w:p>
        </w:tc>
        <w:tc>
          <w:tcPr>
            <w:tcW w:w="2600" w:type="pct"/>
            <w:hideMark/>
          </w:tcPr>
          <w:p w14:paraId="30C3EC3D" w14:textId="77777777" w:rsidR="006238B3" w:rsidRPr="006238B3" w:rsidRDefault="006238B3" w:rsidP="006238B3">
            <w:pPr>
              <w:spacing w:line="450" w:lineRule="atLeast"/>
              <w:jc w:val="center"/>
              <w:textAlignment w:val="baseline"/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</w:pPr>
            <w:r w:rsidRPr="006238B3">
              <w:rPr>
                <w:rFonts w:ascii="TH Sarabun New" w:eastAsia="Times New Roman" w:hAnsi="TH Sarabun New" w:cs="TH Sarabun New"/>
                <w:b/>
                <w:bCs/>
                <w:color w:val="333333"/>
                <w:kern w:val="0"/>
                <w:sz w:val="32"/>
                <w:szCs w:val="32"/>
                <w:cs/>
                <w14:ligatures w14:val="none"/>
              </w:rPr>
              <w:t>อัตราผลตอบแทนที่คาดว่าจะได้รับ (ต่อปี)</w:t>
            </w:r>
          </w:p>
        </w:tc>
      </w:tr>
      <w:tr w:rsidR="006238B3" w:rsidRPr="006238B3" w14:paraId="48530ADF" w14:textId="77777777" w:rsidTr="006238B3">
        <w:trPr>
          <w:trHeight w:val="163"/>
        </w:trPr>
        <w:tc>
          <w:tcPr>
            <w:tcW w:w="2150" w:type="pct"/>
            <w:hideMark/>
          </w:tcPr>
          <w:p w14:paraId="34399870" w14:textId="77777777" w:rsidR="006238B3" w:rsidRPr="006238B3" w:rsidRDefault="006238B3" w:rsidP="006238B3">
            <w:pPr>
              <w:spacing w:line="450" w:lineRule="atLeast"/>
              <w:jc w:val="center"/>
              <w:textAlignment w:val="baseline"/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</w:pP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</w:tc>
        <w:tc>
          <w:tcPr>
            <w:tcW w:w="2600" w:type="pct"/>
            <w:hideMark/>
          </w:tcPr>
          <w:p w14:paraId="2099D37C" w14:textId="77777777" w:rsidR="006238B3" w:rsidRPr="006238B3" w:rsidRDefault="006238B3" w:rsidP="006238B3">
            <w:pPr>
              <w:spacing w:line="450" w:lineRule="atLeast"/>
              <w:jc w:val="center"/>
              <w:textAlignment w:val="baseline"/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</w:pP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  <w:t>0.70%</w:t>
            </w:r>
          </w:p>
        </w:tc>
      </w:tr>
      <w:tr w:rsidR="006238B3" w:rsidRPr="006238B3" w14:paraId="722CF339" w14:textId="77777777" w:rsidTr="006238B3">
        <w:trPr>
          <w:trHeight w:val="216"/>
        </w:trPr>
        <w:tc>
          <w:tcPr>
            <w:tcW w:w="2150" w:type="pct"/>
            <w:hideMark/>
          </w:tcPr>
          <w:p w14:paraId="34D4EA26" w14:textId="77777777" w:rsidR="006238B3" w:rsidRPr="006238B3" w:rsidRDefault="006238B3" w:rsidP="006238B3">
            <w:pPr>
              <w:spacing w:line="450" w:lineRule="atLeast"/>
              <w:jc w:val="center"/>
              <w:textAlignment w:val="baseline"/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</w:pP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</w:tc>
        <w:tc>
          <w:tcPr>
            <w:tcW w:w="2600" w:type="pct"/>
            <w:hideMark/>
          </w:tcPr>
          <w:p w14:paraId="6727852D" w14:textId="77777777" w:rsidR="006238B3" w:rsidRPr="006238B3" w:rsidRDefault="006238B3" w:rsidP="006238B3">
            <w:pPr>
              <w:spacing w:line="450" w:lineRule="atLeast"/>
              <w:jc w:val="center"/>
              <w:textAlignment w:val="baseline"/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</w:pP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  <w:t>0.80%</w:t>
            </w:r>
          </w:p>
        </w:tc>
      </w:tr>
      <w:tr w:rsidR="006238B3" w:rsidRPr="006238B3" w14:paraId="53BD44B5" w14:textId="77777777" w:rsidTr="006238B3">
        <w:trPr>
          <w:trHeight w:val="25"/>
        </w:trPr>
        <w:tc>
          <w:tcPr>
            <w:tcW w:w="2150" w:type="pct"/>
            <w:hideMark/>
          </w:tcPr>
          <w:p w14:paraId="417BD6C8" w14:textId="77777777" w:rsidR="006238B3" w:rsidRPr="006238B3" w:rsidRDefault="006238B3" w:rsidP="006238B3">
            <w:pPr>
              <w:spacing w:line="450" w:lineRule="atLeast"/>
              <w:jc w:val="center"/>
              <w:textAlignment w:val="baseline"/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</w:pP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  <w:t xml:space="preserve">13 </w:t>
            </w: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</w:tc>
        <w:tc>
          <w:tcPr>
            <w:tcW w:w="2600" w:type="pct"/>
            <w:hideMark/>
          </w:tcPr>
          <w:p w14:paraId="46EB80E9" w14:textId="778DCBB4" w:rsidR="006238B3" w:rsidRPr="006238B3" w:rsidRDefault="006238B3" w:rsidP="006238B3">
            <w:pPr>
              <w:spacing w:line="450" w:lineRule="atLeast"/>
              <w:jc w:val="center"/>
              <w:textAlignment w:val="baseline"/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</w:pP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  <w:t>1.35%</w:t>
            </w:r>
          </w:p>
        </w:tc>
      </w:tr>
      <w:tr w:rsidR="006238B3" w:rsidRPr="006238B3" w14:paraId="227962A2" w14:textId="77777777" w:rsidTr="006238B3">
        <w:trPr>
          <w:trHeight w:val="25"/>
        </w:trPr>
        <w:tc>
          <w:tcPr>
            <w:tcW w:w="2150" w:type="pct"/>
            <w:hideMark/>
          </w:tcPr>
          <w:p w14:paraId="1F01BA55" w14:textId="77777777" w:rsidR="006238B3" w:rsidRPr="006238B3" w:rsidRDefault="006238B3" w:rsidP="006238B3">
            <w:pPr>
              <w:spacing w:line="450" w:lineRule="atLeast"/>
              <w:jc w:val="center"/>
              <w:textAlignment w:val="baseline"/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</w:pP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  <w:t xml:space="preserve">24 </w:t>
            </w: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:cs/>
                <w14:ligatures w14:val="none"/>
              </w:rPr>
              <w:t>เดือน</w:t>
            </w:r>
          </w:p>
        </w:tc>
        <w:tc>
          <w:tcPr>
            <w:tcW w:w="2600" w:type="pct"/>
            <w:hideMark/>
          </w:tcPr>
          <w:p w14:paraId="20561BE8" w14:textId="77777777" w:rsidR="006238B3" w:rsidRPr="006238B3" w:rsidRDefault="006238B3" w:rsidP="006238B3">
            <w:pPr>
              <w:spacing w:line="450" w:lineRule="atLeast"/>
              <w:jc w:val="center"/>
              <w:textAlignment w:val="baseline"/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</w:pPr>
            <w:r w:rsidRPr="006238B3">
              <w:rPr>
                <w:rFonts w:ascii="TH Sarabun New" w:eastAsia="Times New Roman" w:hAnsi="TH Sarabun New" w:cs="TH Sarabun New"/>
                <w:color w:val="333333"/>
                <w:kern w:val="0"/>
                <w:sz w:val="32"/>
                <w:szCs w:val="32"/>
                <w14:ligatures w14:val="none"/>
              </w:rPr>
              <w:t>1.50%</w:t>
            </w:r>
          </w:p>
        </w:tc>
      </w:tr>
    </w:tbl>
    <w:p w14:paraId="25C9A20B" w14:textId="77777777" w:rsidR="006238B3" w:rsidRPr="006238B3" w:rsidRDefault="006238B3" w:rsidP="006238B3">
      <w:pPr>
        <w:shd w:val="clear" w:color="auto" w:fill="FFFFFF"/>
        <w:spacing w:after="0" w:line="450" w:lineRule="atLeast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> </w:t>
      </w:r>
    </w:p>
    <w:p w14:paraId="435A3485" w14:textId="77777777" w:rsidR="006238B3" w:rsidRPr="006238B3" w:rsidRDefault="006238B3" w:rsidP="006238B3">
      <w:pPr>
        <w:shd w:val="clear" w:color="auto" w:fill="FFFFFF"/>
        <w:spacing w:after="0" w:line="450" w:lineRule="atLeast"/>
        <w:ind w:firstLine="720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โดยผู้ฝากสามารถเปิดบัญชีขั้นต่ำ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5,000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บาท ฝากได้ไม่จำกัดจำนวนครั้ง แต่ฝากได้สูงสุดไม่เกิน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20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ล้านบาทต่อราย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จ่ายผลตอบแทนทุกเดือน ทั้งนี้หากถอนเงินฝากก่อนครบกำหนด ธนาคารจะเรียกผลตอบแทนคืน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100%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ก่อนหักภาษี ฝากได้ทั้งในนามนิติบุคคลและบุคคลธรรมดา</w:t>
      </w:r>
    </w:p>
    <w:p w14:paraId="769DB8D1" w14:textId="77777777" w:rsidR="006238B3" w:rsidRPr="006238B3" w:rsidRDefault="006238B3" w:rsidP="006238B3">
      <w:pPr>
        <w:shd w:val="clear" w:color="auto" w:fill="FFFFFF"/>
        <w:spacing w:after="0" w:line="450" w:lineRule="atLeast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  <w:t> </w:t>
      </w:r>
    </w:p>
    <w:p w14:paraId="1BC81659" w14:textId="77777777" w:rsidR="006238B3" w:rsidRPr="006238B3" w:rsidRDefault="006238B3" w:rsidP="006238B3">
      <w:pPr>
        <w:shd w:val="clear" w:color="auto" w:fill="FFFFFF"/>
        <w:spacing w:line="450" w:lineRule="atLeast"/>
        <w:ind w:firstLine="720"/>
        <w:jc w:val="thaiDistribute"/>
        <w:textAlignment w:val="baseline"/>
        <w:rPr>
          <w:rFonts w:ascii="TH Sarabun New" w:eastAsia="Times New Roman" w:hAnsi="TH Sarabun New" w:cs="TH Sarabun New"/>
          <w:color w:val="333333"/>
          <w:kern w:val="0"/>
          <w:sz w:val="32"/>
          <w:szCs w:val="32"/>
          <w14:ligatures w14:val="none"/>
        </w:rPr>
      </w:pP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ผู้สนใจสามารถติดต่อเปิดบัญชีได้ที่ไอแบงก์ทุกสาขา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ตั้งแต่วันนี้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ถึง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  25 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เมษายน 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2566 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ยกเว้นเงินฝากประจำ 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13 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เดือน เปิดบัญชีได้ถึงวันที่ 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12 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มีนาคม </w:t>
      </w:r>
      <w:r w:rsidRPr="006238B3">
        <w:rPr>
          <w:rFonts w:ascii="TH Sarabun New" w:eastAsia="Times New Roman" w:hAnsi="TH Sarabun New" w:cs="TH Sarabun New"/>
          <w:b/>
          <w:bCs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>2566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> 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>หรือสอบถามรายละเอียดเพิ่มเติมได้ที่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> </w:t>
      </w:r>
      <w:proofErr w:type="spellStart"/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>iBank</w:t>
      </w:r>
      <w:proofErr w:type="spellEnd"/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 Call Center 1302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หรือ แชททาง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Messenger : Islamic Bank of Thailand - </w:t>
      </w:r>
      <w:proofErr w:type="spellStart"/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>ibank</w:t>
      </w:r>
      <w:proofErr w:type="spellEnd"/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 (@ibank.th)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:cs/>
          <w14:ligatures w14:val="none"/>
        </w:rPr>
        <w:t xml:space="preserve">และ </w:t>
      </w:r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Line : </w:t>
      </w:r>
      <w:proofErr w:type="spellStart"/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>iBank</w:t>
      </w:r>
      <w:proofErr w:type="spellEnd"/>
      <w:r w:rsidRPr="006238B3">
        <w:rPr>
          <w:rFonts w:ascii="TH Sarabun New" w:eastAsia="Times New Roman" w:hAnsi="TH Sarabun New" w:cs="TH Sarabun New"/>
          <w:color w:val="333333"/>
          <w:kern w:val="0"/>
          <w:sz w:val="32"/>
          <w:szCs w:val="32"/>
          <w:bdr w:val="none" w:sz="0" w:space="0" w:color="auto" w:frame="1"/>
          <w14:ligatures w14:val="none"/>
        </w:rPr>
        <w:t xml:space="preserve"> 4 all (@ibank)</w:t>
      </w:r>
    </w:p>
    <w:p w14:paraId="1D042257" w14:textId="27225271" w:rsidR="004D18D9" w:rsidRDefault="004D18D9" w:rsidP="006238B3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6AC18B18" w14:textId="77777777" w:rsidR="006238B3" w:rsidRPr="006238B3" w:rsidRDefault="006238B3" w:rsidP="006238B3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021D339B" w14:textId="1E0213F4" w:rsidR="006238B3" w:rsidRDefault="006238B3" w:rsidP="006238B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 w:rsidRPr="006238B3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p w14:paraId="50C43143" w14:textId="77777777" w:rsidR="006238B3" w:rsidRPr="006238B3" w:rsidRDefault="006238B3" w:rsidP="006238B3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</w:p>
    <w:p w14:paraId="35518019" w14:textId="77777777" w:rsidR="006238B3" w:rsidRPr="006238B3" w:rsidRDefault="006238B3" w:rsidP="006238B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6238B3">
        <w:rPr>
          <w:rFonts w:ascii="TH Sarabun New" w:hAnsi="TH Sarabun New" w:cs="TH Sarabun New"/>
          <w:sz w:val="32"/>
          <w:szCs w:val="32"/>
          <w:cs/>
        </w:rPr>
        <w:t>หมายเหตุ:</w:t>
      </w:r>
    </w:p>
    <w:p w14:paraId="12AC212B" w14:textId="77777777" w:rsidR="006238B3" w:rsidRPr="00AE351B" w:rsidRDefault="006238B3" w:rsidP="006238B3">
      <w:pPr>
        <w:pStyle w:val="NoSpacing"/>
        <w:rPr>
          <w:rFonts w:ascii="TH Sarabun New" w:hAnsi="TH Sarabun New" w:cs="TH Sarabun New"/>
          <w:i/>
          <w:iCs/>
          <w:sz w:val="28"/>
        </w:rPr>
      </w:pPr>
      <w:r w:rsidRPr="00AE351B">
        <w:rPr>
          <w:rFonts w:ascii="TH Sarabun New" w:hAnsi="TH Sarabun New" w:cs="TH Sarabun New"/>
          <w:i/>
          <w:iCs/>
          <w:sz w:val="28"/>
        </w:rPr>
        <w:t>1. “</w:t>
      </w:r>
      <w:r w:rsidRPr="00AE351B">
        <w:rPr>
          <w:rFonts w:ascii="TH Sarabun New" w:hAnsi="TH Sarabun New" w:cs="TH Sarabun New"/>
          <w:i/>
          <w:iCs/>
          <w:sz w:val="28"/>
          <w:cs/>
        </w:rPr>
        <w:t>อัตรากำไร/ผลตอบแทน ผลิตภัณฑ์ธนาคารมิใช่ดอกเบี้ยหรือเป็นคำเรียกแทนดอกเบี้ย แต่มาจากหลักการที่ใช้ในการทำธุรกรรมที่ถูกต้องตามหลักการอิสลาม”</w:t>
      </w:r>
    </w:p>
    <w:p w14:paraId="7165B933" w14:textId="7081302E" w:rsidR="009667CF" w:rsidRPr="00AE351B" w:rsidRDefault="006238B3" w:rsidP="006238B3">
      <w:pPr>
        <w:pStyle w:val="NoSpacing"/>
        <w:rPr>
          <w:rFonts w:ascii="TH Sarabun New" w:hAnsi="TH Sarabun New" w:cs="TH Sarabun New"/>
          <w:i/>
          <w:iCs/>
          <w:sz w:val="28"/>
        </w:rPr>
      </w:pPr>
      <w:r w:rsidRPr="00AE351B">
        <w:rPr>
          <w:rFonts w:ascii="TH Sarabun New" w:hAnsi="TH Sarabun New" w:cs="TH Sarabun New"/>
          <w:i/>
          <w:iCs/>
          <w:sz w:val="28"/>
        </w:rPr>
        <w:t xml:space="preserve">2. </w:t>
      </w:r>
      <w:r w:rsidRPr="00AE351B">
        <w:rPr>
          <w:rFonts w:ascii="TH Sarabun New" w:hAnsi="TH Sarabun New" w:cs="TH Sarabun New"/>
          <w:i/>
          <w:iCs/>
          <w:sz w:val="28"/>
          <w:cs/>
        </w:rPr>
        <w:t>อัตราผลตอบแทนที่คาดว่าจะได้รับ คืออัตราที่คำนวณได้จากประมาณการรายได้ของธนาคารและอัตราสัดส่วนการแบ่งผลตอบแทนเงินฝาก 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14:paraId="2E098F8C" w14:textId="77777777" w:rsidR="007C15D6" w:rsidRPr="004D18D9" w:rsidRDefault="007C15D6" w:rsidP="006238B3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sectPr w:rsidR="007C15D6" w:rsidRPr="004D18D9" w:rsidSect="004E1764">
      <w:pgSz w:w="12240" w:h="15840"/>
      <w:pgMar w:top="1282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D6C0" w14:textId="77777777" w:rsidR="00585C39" w:rsidRDefault="00585C39" w:rsidP="001B5EC2">
      <w:pPr>
        <w:spacing w:after="0" w:line="240" w:lineRule="auto"/>
      </w:pPr>
      <w:r>
        <w:separator/>
      </w:r>
    </w:p>
  </w:endnote>
  <w:endnote w:type="continuationSeparator" w:id="0">
    <w:p w14:paraId="7ABBCDA1" w14:textId="77777777" w:rsidR="00585C39" w:rsidRDefault="00585C39" w:rsidP="001B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F220" w14:textId="77777777" w:rsidR="00585C39" w:rsidRDefault="00585C39" w:rsidP="001B5EC2">
      <w:pPr>
        <w:spacing w:after="0" w:line="240" w:lineRule="auto"/>
      </w:pPr>
      <w:r>
        <w:separator/>
      </w:r>
    </w:p>
  </w:footnote>
  <w:footnote w:type="continuationSeparator" w:id="0">
    <w:p w14:paraId="50AAB4CD" w14:textId="77777777" w:rsidR="00585C39" w:rsidRDefault="00585C39" w:rsidP="001B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2FFC"/>
    <w:multiLevelType w:val="hybridMultilevel"/>
    <w:tmpl w:val="6D501A46"/>
    <w:lvl w:ilvl="0" w:tplc="EDCC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517D5"/>
    <w:multiLevelType w:val="hybridMultilevel"/>
    <w:tmpl w:val="E2488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6602548">
    <w:abstractNumId w:val="1"/>
  </w:num>
  <w:num w:numId="2" w16cid:durableId="6146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2"/>
    <w:rsid w:val="001B5EC2"/>
    <w:rsid w:val="00397829"/>
    <w:rsid w:val="003B6B11"/>
    <w:rsid w:val="004710EC"/>
    <w:rsid w:val="004D18D9"/>
    <w:rsid w:val="004E16A8"/>
    <w:rsid w:val="004E1764"/>
    <w:rsid w:val="00585C39"/>
    <w:rsid w:val="006238B3"/>
    <w:rsid w:val="007C15D6"/>
    <w:rsid w:val="009163B7"/>
    <w:rsid w:val="009667CF"/>
    <w:rsid w:val="00AA3D29"/>
    <w:rsid w:val="00AB69A3"/>
    <w:rsid w:val="00AE351B"/>
    <w:rsid w:val="00BA208F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B4690"/>
  <w15:chartTrackingRefBased/>
  <w15:docId w15:val="{E4242F3F-1A12-4B8D-ACB7-8FD8F84E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C2"/>
  </w:style>
  <w:style w:type="paragraph" w:styleId="Footer">
    <w:name w:val="footer"/>
    <w:basedOn w:val="Normal"/>
    <w:link w:val="FooterChar"/>
    <w:uiPriority w:val="99"/>
    <w:unhideWhenUsed/>
    <w:rsid w:val="001B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C2"/>
  </w:style>
  <w:style w:type="character" w:customStyle="1" w:styleId="Heading1Char">
    <w:name w:val="Heading 1 Char"/>
    <w:basedOn w:val="DefaultParagraphFont"/>
    <w:link w:val="Heading1"/>
    <w:uiPriority w:val="9"/>
    <w:rsid w:val="004D18D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Spacing">
    <w:name w:val="No Spacing"/>
    <w:uiPriority w:val="1"/>
    <w:qFormat/>
    <w:rsid w:val="004D18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238B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38B3"/>
    <w:rPr>
      <w:b/>
      <w:bCs/>
    </w:rPr>
  </w:style>
  <w:style w:type="table" w:styleId="PlainTable3">
    <w:name w:val="Plain Table 3"/>
    <w:basedOn w:val="TableNormal"/>
    <w:uiPriority w:val="43"/>
    <w:rsid w:val="006238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238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9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445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5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3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8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19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islamicBThai@hotmail.com</dc:creator>
  <cp:keywords/>
  <dc:description/>
  <cp:lastModifiedBy>Tuwaearyu Napo</cp:lastModifiedBy>
  <cp:revision>8</cp:revision>
  <dcterms:created xsi:type="dcterms:W3CDTF">2023-01-25T15:30:00Z</dcterms:created>
  <dcterms:modified xsi:type="dcterms:W3CDTF">2023-02-15T08:48:00Z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1674821252</vt:lpwstr>
  </property>
  <property fmtid="{D5CDD505-2E9C-101B-9397-08002B2CF9AE}" pid="5" name="DLPManualFileClassificationVersion">
    <vt:lpwstr>11.9.0.82</vt:lpwstr>
  </property>
</Properties>
</file>