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70004" w14:textId="2DF9FA55" w:rsidR="00DE27BD" w:rsidRPr="006937DA" w:rsidRDefault="00A461CA" w:rsidP="006937DA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u w:val="single"/>
        </w:rPr>
      </w:pPr>
      <w:r w:rsidRPr="006937DA">
        <w:rPr>
          <w:rFonts w:asciiTheme="minorBidi" w:eastAsia="Times New Roman" w:hAnsiTheme="minorBidi"/>
          <w:b/>
          <w:bCs/>
          <w:noProof/>
          <w:color w:val="000000" w:themeColor="text1"/>
          <w:sz w:val="30"/>
          <w:szCs w:val="30"/>
        </w:rPr>
        <w:drawing>
          <wp:inline distT="0" distB="0" distL="0" distR="0" wp14:anchorId="0BE33290" wp14:editId="4AB241D2">
            <wp:extent cx="1254760" cy="4846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989" cy="4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8439" w14:textId="77777777" w:rsidR="00BB2CCA" w:rsidRPr="006937DA" w:rsidRDefault="00DE27BD" w:rsidP="006937DA">
      <w:pPr>
        <w:spacing w:after="240" w:line="240" w:lineRule="auto"/>
        <w:jc w:val="right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5DE578C4" w14:textId="517A18F3" w:rsidR="00AE5F3A" w:rsidRPr="006937DA" w:rsidRDefault="00AE5F3A" w:rsidP="006937DA">
      <w:pPr>
        <w:spacing w:before="240" w:after="0" w:line="240" w:lineRule="auto"/>
        <w:jc w:val="thaiDistribute"/>
        <w:rPr>
          <w:rFonts w:asciiTheme="minorBidi" w:eastAsia="Times New Roman" w:hAnsiTheme="minorBidi" w:hint="cs"/>
          <w:color w:val="000000" w:themeColor="text1"/>
          <w:sz w:val="30"/>
          <w:szCs w:val="30"/>
        </w:rPr>
      </w:pPr>
      <w:bookmarkStart w:id="0" w:name="_GoBack"/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“กรุงไทย”</w:t>
      </w:r>
      <w:r w:rsidR="00BA7B8D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นำร่องเปิดบริการหนังสือค้ำประกัน</w:t>
      </w:r>
      <w:r w:rsidR="008D0132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ระบบ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ศุลกากรผ่านแดนอาเซียน </w:t>
      </w:r>
      <w:r w:rsidR="00F83812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ตอบโจทย์ยกระดับบริการศุลกากรสู่ดิจิทัล</w:t>
      </w:r>
      <w:r w:rsidR="003F493E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เสริมแกร่งการ</w:t>
      </w:r>
      <w:r w:rsidR="00040E7D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ค้า</w:t>
      </w:r>
      <w:r w:rsidR="003F493E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ชายแดนอาเซียน</w:t>
      </w:r>
      <w:r w:rsidR="004125CE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ให้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เติบโตยั่งยืน</w:t>
      </w:r>
    </w:p>
    <w:bookmarkEnd w:id="0"/>
    <w:p w14:paraId="7CEEA1CD" w14:textId="59CEC0E3" w:rsidR="005432BF" w:rsidRPr="006937DA" w:rsidRDefault="00AE5F3A" w:rsidP="006937DA">
      <w:pPr>
        <w:spacing w:before="24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</w:rPr>
        <w:tab/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“ธนาคารกรุงไทย”</w:t>
      </w:r>
      <w:r w:rsidR="00F83812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สนับสนุนยกระดับบริการศุลกากรดิจิทัล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นำร่องเปิดบริการหนังสือค้ำประกัน</w:t>
      </w:r>
      <w:r w:rsidR="008D0132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ระบบ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ศุลกากรผ่านแดนอาเซียน</w:t>
      </w:r>
      <w:r w:rsidR="00B47BED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(</w:t>
      </w:r>
      <w:r w:rsidR="00B47BED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ASEAN Customs Transit System</w:t>
      </w:r>
      <w:r w:rsidR="00B47BED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: </w:t>
      </w:r>
      <w:r w:rsidR="00B47BED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ACTS</w:t>
      </w:r>
      <w:r w:rsidR="00B47BED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)</w:t>
      </w:r>
      <w:r w:rsidR="005050FE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F83812" w:rsidRPr="006937DA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5C04EB" w:rsidRPr="006937DA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>หลักประกันเดียวใช้ได้ท</w:t>
      </w:r>
      <w:r w:rsidR="005050FE" w:rsidRPr="006937DA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ั่วภูมิภาค </w:t>
      </w:r>
      <w:r w:rsidR="00DD45A8" w:rsidRPr="006937DA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            </w:t>
      </w:r>
      <w:r w:rsidR="005050FE" w:rsidRPr="006937DA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>ลด</w:t>
      </w:r>
      <w:r w:rsidR="005C04EB" w:rsidRPr="006937DA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>ความซ้ำซ้อน</w:t>
      </w:r>
      <w:r w:rsidR="008D6A49" w:rsidRPr="006937DA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>และค่าใช้จ่าย</w:t>
      </w:r>
      <w:r w:rsidR="005C04EB" w:rsidRPr="006937DA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ในการทำเอกสาร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อำนวยความสะดวก</w:t>
      </w:r>
      <w:r w:rsidR="00B47BED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ผู้ประกอบการขนส่งสินค้าผ่านแดน</w:t>
      </w:r>
      <w:r w:rsidR="0097231D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ทางบกในภูมิภาค</w:t>
      </w:r>
      <w:r w:rsidR="00F83812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อาเซียน</w:t>
      </w:r>
      <w:r w:rsidR="005C04EB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5050FE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3F493E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หนุนธุรกรรมการค้า</w:t>
      </w:r>
      <w:r w:rsidR="00DD45A8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ชายแดน</w:t>
      </w:r>
      <w:r w:rsidR="003F493E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8D0132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เพิ่มศักยภาพเศรษฐกิจไทยและภูมิภาคอาเซียน</w:t>
      </w:r>
    </w:p>
    <w:p w14:paraId="2BB0B8DB" w14:textId="541C069B" w:rsidR="006937DA" w:rsidRDefault="006937DA" w:rsidP="006937DA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นายธวัชชัย ชีวานนท์</w:t>
      </w:r>
      <w:r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รองกรรมการผู้จัดการใหญ่ สายงานบ</w:t>
      </w:r>
      <w:r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ริหารจัดการทางการเงินเพื่อธุรกิจ </w:t>
      </w:r>
      <w:r w:rsidR="00AE5F3A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ธนาคารกรุงไทย</w:t>
      </w:r>
      <w:r w:rsidR="00AE5F3A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เปิดเผยว่า </w:t>
      </w:r>
      <w:r w:rsidR="00DD45A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ในฐานะ</w:t>
      </w:r>
      <w:r w:rsidR="00AE5F3A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ธนาคารพาณิชย์ชั้นนำของประเทศ </w:t>
      </w:r>
      <w:r w:rsidRPr="00E70BF3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>ธนาคาร</w:t>
      </w:r>
      <w:r w:rsidR="00F83812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มุ่งมั่นพัฒนา</w:t>
      </w:r>
      <w:r w:rsidR="005C04EB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เทคโนโลยีและนวัตกรรม</w:t>
      </w:r>
      <w:r w:rsidR="00F83812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ทางการเงิน</w:t>
      </w:r>
      <w:r w:rsidR="00471608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เพื่อ</w:t>
      </w:r>
      <w:r w:rsidR="005C04EB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สนับสนุนการดำเนินงานของ</w:t>
      </w:r>
      <w:r w:rsidR="00A93818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กรมศุลกากร  </w:t>
      </w:r>
      <w:r w:rsidR="00471608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ใน</w:t>
      </w:r>
      <w:r w:rsidR="00A93818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การยกระดับบริการศุลกากรสู่ดิจิทัล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เพื่อลดภาระค่าใช้จ่ายของประชาชนและภาคธุรกิจ ให้สามารถเข้าถึงบริการได้ทั่วถึง สะดวก รวดเร็ว โปร่งใส ปลอดภัย</w:t>
      </w:r>
      <w:r w:rsidR="00A9381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 </w:t>
      </w:r>
      <w:r w:rsidR="00AE5F3A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ยกระดับคุณภาพชีวิต</w:t>
      </w:r>
      <w:r w:rsidR="0047160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ทั้ง</w:t>
      </w:r>
      <w:r w:rsidR="00AE5F3A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ของคนไทย</w:t>
      </w:r>
      <w:r w:rsidR="0047160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และธุรกิจไทย</w:t>
      </w:r>
      <w:r w:rsidR="00AE5F3A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ให้ดีขึ้นในทุกวัน</w:t>
      </w:r>
      <w:r w:rsidR="00AE5F3A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="00AE5F3A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ตามยุทธศาสตร์ </w:t>
      </w:r>
      <w:r w:rsidR="005432BF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X2G2X</w:t>
      </w:r>
      <w:r w:rsidR="008D6A49" w:rsidRPr="00E70BF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ของธนาคาร</w:t>
      </w:r>
      <w:r w:rsidR="005432BF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โดย</w:t>
      </w:r>
      <w:r w:rsidR="0047160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ที่ผ่านมา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ธนาคารได้พัฒนาระบบลงทะเบียน</w:t>
      </w:r>
      <w:r w:rsidR="0047160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ผู้มาติดต่อ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ออนไลน์</w:t>
      </w:r>
      <w:r w:rsidR="00DD45A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ทาง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 “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Customs Trader Portal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”  ผ่าน 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www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.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customstraderportal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.</w:t>
      </w:r>
      <w:r w:rsidR="005432BF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com  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เพื่อเพิ่มประสิทธิภาพการลงทะเบียน</w:t>
      </w:r>
      <w:r w:rsidR="00A831F5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ผู้นำเข้า</w:t>
      </w:r>
      <w:r w:rsidR="00DD45A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/</w:t>
      </w:r>
      <w:r w:rsidR="00A831F5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ส่งออก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ตัวแทนออกของ และผู้ปฏิบัติงานเกี่ยวกับการออกของ โดยเพิ่มช่องทางให้สามารถลงทะเบียน</w:t>
      </w:r>
      <w:r w:rsidR="00A831F5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แก้ไขข้อมูล</w:t>
      </w:r>
      <w:r w:rsidR="00DD45A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และ</w:t>
      </w:r>
      <w:r w:rsidR="00A831F5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ต่ออายุ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รวมถึงบริการอื่นๆ ที่จะเกิดขึ้นในอนาคต </w:t>
      </w:r>
      <w:r w:rsidR="00DD45A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ซึ่ง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ระบบลงทะเบียน</w:t>
      </w:r>
      <w:r w:rsidR="00A831F5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ดังกล่าว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จะช่วยอำนวยความสะดวกให้แก่ผู้ใช้งาน ไม่ต้องเดินทาง</w:t>
      </w:r>
      <w:r w:rsidR="00A831F5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มายังหน่วยบริการรับลงทะเบียนของกรมศุลกากร</w:t>
      </w:r>
      <w:r w:rsidR="00DD45A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หรือมอบบัตรประชาชนให้กับผู้รับมอบอำนาจ</w:t>
      </w:r>
      <w:r w:rsidR="00A831F5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มาดำเนินการแทน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ด้วยการยืนยันตัวตนทางอิเล็กทรอนิกส์ (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e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KYC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) ผ่าน</w:t>
      </w:r>
      <w:r w:rsidR="00A831F5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แอปพลิเคชัน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เป๋าตัง</w:t>
      </w:r>
      <w:r w:rsidR="00DD45A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ทำให้มั่นใจได้ว่าข้อมูลลงทะเบียนนั้นถูกต้องและปลอดภัย นอกจากนี้</w:t>
      </w:r>
      <w:r w:rsidR="00DD45A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ธนาคารกรุงไทยยังได้พัฒนาระบบใบรับอิเล็กทรอนิกส์</w:t>
      </w:r>
      <w:r w:rsidR="004E789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(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e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Receipt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) ด้วยเทคโนโลยี 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Blockchain 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ช่วยลดขั้นตอนเอกสารและลดการใช้กระดาษอีกด้วย </w:t>
      </w:r>
    </w:p>
    <w:p w14:paraId="4A5E0FCD" w14:textId="7EE4D448" w:rsidR="00E86CA8" w:rsidRPr="006937DA" w:rsidRDefault="00AE5F3A" w:rsidP="006937DA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ล่าสุด ธนาคาร</w:t>
      </w:r>
      <w:r w:rsidR="00970A6B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ได้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นำร่อง</w:t>
      </w:r>
      <w:r w:rsidR="00970A6B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เปิดให้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บริการหนังสือค้ำประกัน</w:t>
      </w:r>
      <w:r w:rsidR="008D0132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ระบบ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ศุลกากรผ่านแดนอาเซียน หรือ 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Bank Guarantee for ASEAN Customs Transit System 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(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ACTS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)</w:t>
      </w:r>
      <w:r w:rsidR="00970A6B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เป็นธนาคารแรก</w:t>
      </w:r>
      <w:r w:rsidR="00E86CA8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เพื่อ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ยกระดับการค้าระหว่างประเทศและ</w:t>
      </w:r>
      <w:r w:rsidR="00E86CA8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เพิ่มประสิทธิภาพบริการศุลกากร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สำหรับการ</w:t>
      </w:r>
      <w:r w:rsidR="00E86CA8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ขนส่งสินค้าผ่านแดน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ระหว่างประเทศ</w:t>
      </w:r>
      <w:r w:rsidR="00E86CA8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ในภูมิภาคอาเซียน</w:t>
      </w:r>
      <w:r w:rsidR="00E86CA8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ประกอบด้วย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BF4C31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ไทย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มาเลเซีย </w:t>
      </w:r>
      <w:r w:rsidR="00BF4C31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พม่า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ลาว เวียดนาม สิงคโปร์</w:t>
      </w:r>
      <w:r w:rsidR="00F27340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BF4C31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และ</w:t>
      </w:r>
      <w:r w:rsidR="00F27340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กัมพูชา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โดยผู้ประกอบการสามารถวางหนังสือค้ำประกันฉบับเดียวเพื่อเป็นหลักประกันในการขนส่งสินค้าผ่านแดนไปยังทุกประเทศในภูมิภาคอาเซียน</w:t>
      </w:r>
      <w:r w:rsidR="00970A6B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   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ที่ใช้ระบบศุลกากรผ่านแดนอาเซียน </w:t>
      </w:r>
      <w:r w:rsidR="00810ADA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ลดความซ้ำซ้อนและค่าใช้จ่าย</w:t>
      </w:r>
      <w:r w:rsidR="00970A6B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โดย</w:t>
      </w:r>
      <w:r w:rsidR="00810ADA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ไม่ต้องจัดทำเอกสารผ่านแดนทุกครั้ง</w:t>
      </w:r>
      <w:r w:rsidR="00970A6B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เมื่อขนส่งสินค้าผ่านไปยังประเทศต่างๆ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 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และยังสามารถเลือกได้ว่าจะวางค้ำประกันเป็นแบบต่อเที่ยว (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Single journey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) หรือวางค้ำประกันเป็นแบบหลายเที่ยวต่อการวางค้ำประกันหนึ่งครั้ง (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Multiple journey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)  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อีกทั้งยังสามารถ</w:t>
      </w:r>
      <w:r w:rsidR="00810ADA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ใช้ยานพาหนะเดียววิ่งรับขนส่งสินค้าตลอดการผ่านแดน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โดยที่ไม่ต้องเปลี่ยนถ่ายยานพาหนะ ทำให้กระบวนการขนส่งมีความรวดเร็วขึ้น และ</w:t>
      </w:r>
      <w:r w:rsidR="00396966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สามารถ</w:t>
      </w:r>
      <w:r w:rsidR="00E52A6F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ส่งคำ</w:t>
      </w:r>
      <w:r w:rsidR="005050FE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ขอ</w:t>
      </w:r>
      <w:r w:rsidR="00396966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ออก</w:t>
      </w:r>
      <w:r w:rsidR="005050FE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หนังสือค้ำประกัน</w:t>
      </w:r>
      <w:r w:rsidR="00396966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ผ่านแดน</w:t>
      </w:r>
      <w:r w:rsidR="005050FE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ได้ทุกที่ ผ่านระบบ </w:t>
      </w:r>
      <w:r w:rsidR="005050FE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</w:rPr>
        <w:t>Krungthai Trade Online</w:t>
      </w:r>
      <w:r w:rsidR="005050FE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ทำให้บริหารจัดการการขนส่งสินค้า</w:t>
      </w:r>
      <w:r w:rsidR="00105FFB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และเวลาในการทำธุรกรรม</w:t>
      </w:r>
      <w:r w:rsidR="00810ADA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ได้</w:t>
      </w:r>
      <w:r w:rsidR="00105FFB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คล่องตัวมากยิ่งขึ้น</w:t>
      </w:r>
    </w:p>
    <w:p w14:paraId="6E680D86" w14:textId="469030CD" w:rsidR="00AE5F3A" w:rsidRPr="006937DA" w:rsidRDefault="00AE5F3A" w:rsidP="006937D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นอกจากนี้ บริการหนังสือค้ำประกัน</w:t>
      </w:r>
      <w:r w:rsidR="00814C5F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ระบบ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ศุลกากรผ่านแดนอาเซียน ยังช่วย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สนับสนุนกระบวนการทาง</w:t>
      </w:r>
      <w:r w:rsidR="00814C5F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ด้านโลจิสติกส์ในภูมิภาค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อาเซียน</w:t>
      </w:r>
      <w:r w:rsidR="00814C5F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ให้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เป็นไปอย่างมีประสิทธิภาพ ส่งเสริมความสามารถในการแข่งขันทาง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lastRenderedPageBreak/>
        <w:t>การค้า</w:t>
      </w:r>
      <w:r w:rsidR="00814C5F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ระหว่างประเทศ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สร้างความเชื่อมั่นให้แก่ประเทศผ่านแดนว่าการขนส่ง</w:t>
      </w:r>
      <w:r w:rsidR="00814C5F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สินค้าผ่านแดนทางบก</w:t>
      </w:r>
      <w:r w:rsidR="00970A6B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มีความมั่นคง ปลอดภัย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สอดคล้องกับเป้าหมายกรอบความตกลงอาเซียนว่าด้วยการอำนวยความสะดวกในการขนส่งสินค้าผ่านแดน</w:t>
      </w:r>
      <w:r w:rsidR="0055702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(</w:t>
      </w:r>
      <w:r w:rsidR="0055702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ASEAN Framework Agreement on the Facilitation of Goods in Transit</w:t>
      </w:r>
      <w:r w:rsidR="0055702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: </w:t>
      </w:r>
      <w:r w:rsidR="0055702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AFAFGIT</w:t>
      </w:r>
      <w:r w:rsidR="0055702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)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ช่วยยกระดับการค้าชายแดนไทย-อาเซียน</w:t>
      </w:r>
      <w:r w:rsidR="00F1504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ให้ขยายตัวต่อเนื่อง  จากเดือนมกราคม-</w:t>
      </w:r>
      <w:r w:rsidR="00D21E26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พฤศจิกายน</w:t>
      </w:r>
      <w:r w:rsidR="00F1504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F1504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2565 </w:t>
      </w:r>
      <w:r w:rsidR="00F1504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การค้าชายแดนและผ่านแดนของไทยมีมูลค่ารวมกว่า </w:t>
      </w:r>
      <w:r w:rsidR="00D21E26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1,598,794</w:t>
      </w:r>
      <w:r w:rsidR="00F1504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ล้านบาท เพิ่มขึ้น </w:t>
      </w:r>
      <w:r w:rsidR="00F1504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1</w:t>
      </w:r>
      <w:r w:rsidR="00F1504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.</w:t>
      </w:r>
      <w:r w:rsidR="00D21E26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52</w:t>
      </w:r>
      <w:r w:rsidR="00F1504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% จากช่วงเดียวกันของปีที่ผ่านมา (ข้อมูลจากกรมการค้าต่างประเทศ) โดยการขยายตัวของการค้าชายแดน มีส่วนสำคัญในการสนับสนุนการส่งออกของไทยให้เติบโตได้ตามเป้าหมาย และขับ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เคลื่อนเศรษฐกิจ</w:t>
      </w:r>
      <w:r w:rsidR="00F15044"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ไทย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ให้เติบโตอย่างยั่งยืน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 </w:t>
      </w:r>
    </w:p>
    <w:p w14:paraId="28DBADAA" w14:textId="11AAC297" w:rsidR="00AE5F3A" w:rsidRPr="006937DA" w:rsidRDefault="00AE5F3A" w:rsidP="006937DA">
      <w:pPr>
        <w:spacing w:before="240" w:after="24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สำหรับผู้ประกอบการที่สนใจ</w:t>
      </w:r>
      <w:r w:rsidR="005A262D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ติดต่อ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5A262D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เจ้าหน้าที่ดูแลลูกค้าธุรกิจสัมพันธ์ </w:t>
      </w:r>
      <w:r w:rsidR="009F5169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หรือ</w:t>
      </w:r>
      <w:r w:rsidR="00D21E2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ผู้ชำนาญการธุรกิจต่างประเทศ</w:t>
      </w:r>
      <w:r w:rsidR="009F5169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D21E2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(ทีม </w:t>
      </w:r>
      <w:r w:rsidR="009F5169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Trade Solutions</w:t>
      </w:r>
      <w:r w:rsidR="00D21E26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)</w:t>
      </w:r>
      <w:r w:rsidR="009F5169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6937DA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ศึกษารายละเอียดเพิ่มเติมได้ที่ </w:t>
      </w:r>
      <w:r w:rsidR="00BA7B8D">
        <w:fldChar w:fldCharType="begin"/>
      </w:r>
      <w:r w:rsidR="00BA7B8D">
        <w:instrText xml:space="preserve"> HYPERLINK </w:instrText>
      </w:r>
      <w:r w:rsidR="00BA7B8D">
        <w:rPr>
          <w:rFonts w:cs="Angsana New"/>
          <w:szCs w:val="22"/>
          <w:cs/>
        </w:rPr>
        <w:instrText>"</w:instrText>
      </w:r>
      <w:r w:rsidR="00BA7B8D">
        <w:instrText>https</w:instrText>
      </w:r>
      <w:r w:rsidR="00BA7B8D">
        <w:rPr>
          <w:rFonts w:cs="Angsana New"/>
          <w:szCs w:val="22"/>
          <w:cs/>
        </w:rPr>
        <w:instrText>://</w:instrText>
      </w:r>
      <w:r w:rsidR="00BA7B8D">
        <w:instrText>krungthai</w:instrText>
      </w:r>
      <w:r w:rsidR="00BA7B8D">
        <w:rPr>
          <w:rFonts w:cs="Angsana New"/>
          <w:szCs w:val="22"/>
          <w:cs/>
        </w:rPr>
        <w:instrText>.</w:instrText>
      </w:r>
      <w:r w:rsidR="00BA7B8D">
        <w:instrText>com</w:instrText>
      </w:r>
      <w:r w:rsidR="00BA7B8D">
        <w:rPr>
          <w:rFonts w:cs="Angsana New"/>
          <w:szCs w:val="22"/>
          <w:cs/>
        </w:rPr>
        <w:instrText>/</w:instrText>
      </w:r>
      <w:r w:rsidR="00BA7B8D">
        <w:instrText>link</w:instrText>
      </w:r>
      <w:r w:rsidR="00BA7B8D">
        <w:rPr>
          <w:rFonts w:cs="Angsana New"/>
          <w:szCs w:val="22"/>
          <w:cs/>
        </w:rPr>
        <w:instrText>/</w:instrText>
      </w:r>
      <w:r w:rsidR="00BA7B8D">
        <w:instrText>acts</w:instrText>
      </w:r>
      <w:r w:rsidR="00BA7B8D">
        <w:rPr>
          <w:rFonts w:cs="Angsana New"/>
          <w:szCs w:val="22"/>
          <w:cs/>
        </w:rPr>
        <w:instrText>-</w:instrText>
      </w:r>
      <w:r w:rsidR="00BA7B8D">
        <w:instrText>letter</w:instrText>
      </w:r>
      <w:r w:rsidR="00BA7B8D">
        <w:rPr>
          <w:rFonts w:cs="Angsana New"/>
          <w:szCs w:val="22"/>
          <w:cs/>
        </w:rPr>
        <w:instrText>-</w:instrText>
      </w:r>
      <w:r w:rsidR="00BA7B8D">
        <w:instrText>of</w:instrText>
      </w:r>
      <w:r w:rsidR="00BA7B8D">
        <w:rPr>
          <w:rFonts w:cs="Angsana New"/>
          <w:szCs w:val="22"/>
          <w:cs/>
        </w:rPr>
        <w:instrText>-</w:instrText>
      </w:r>
      <w:r w:rsidR="00BA7B8D">
        <w:instrText>guarantee</w:instrText>
      </w:r>
      <w:r w:rsidR="00BA7B8D">
        <w:rPr>
          <w:rFonts w:cs="Angsana New"/>
          <w:szCs w:val="22"/>
          <w:cs/>
        </w:rPr>
        <w:instrText>-</w:instrText>
      </w:r>
      <w:r w:rsidR="00BA7B8D">
        <w:instrText>pr</w:instrText>
      </w:r>
      <w:r w:rsidR="00BA7B8D">
        <w:rPr>
          <w:rFonts w:cs="Angsana New"/>
          <w:szCs w:val="22"/>
          <w:cs/>
        </w:rPr>
        <w:instrText>-</w:instrText>
      </w:r>
      <w:r w:rsidR="00BA7B8D">
        <w:instrText>news</w:instrText>
      </w:r>
      <w:r w:rsidR="00BA7B8D">
        <w:rPr>
          <w:rFonts w:cs="Angsana New"/>
          <w:szCs w:val="22"/>
          <w:cs/>
        </w:rPr>
        <w:instrText xml:space="preserve">" </w:instrText>
      </w:r>
      <w:r w:rsidR="00BA7B8D">
        <w:fldChar w:fldCharType="separate"/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https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  <w:cs/>
        </w:rPr>
        <w:t>://</w:t>
      </w:r>
      <w:proofErr w:type="spellStart"/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krungthai</w:t>
      </w:r>
      <w:proofErr w:type="spellEnd"/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  <w:cs/>
        </w:rPr>
        <w:t>.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com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  <w:cs/>
        </w:rPr>
        <w:t>/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link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  <w:cs/>
        </w:rPr>
        <w:t>/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acts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letter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of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guarantee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proofErr w:type="spellStart"/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pr</w:t>
      </w:r>
      <w:proofErr w:type="spellEnd"/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r w:rsidR="006937DA" w:rsidRPr="006937DA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t>news</w:t>
      </w:r>
      <w:r w:rsidR="00BA7B8D">
        <w:rPr>
          <w:rStyle w:val="Hyperlink"/>
          <w:rFonts w:asciiTheme="minorBidi" w:eastAsia="Times New Roman" w:hAnsiTheme="minorBidi"/>
          <w:color w:val="000000" w:themeColor="text1"/>
          <w:sz w:val="30"/>
          <w:szCs w:val="30"/>
        </w:rPr>
        <w:fldChar w:fldCharType="end"/>
      </w:r>
      <w:r w:rsidR="006937DA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หรือ</w:t>
      </w:r>
      <w:r w:rsidR="00675B73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proofErr w:type="spellStart"/>
      <w:r w:rsidR="00675B73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Krungthai</w:t>
      </w:r>
      <w:proofErr w:type="spellEnd"/>
      <w:r w:rsidR="009F5169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C</w:t>
      </w:r>
      <w:r w:rsidR="00F27340"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orporate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Contact Center </w:t>
      </w:r>
      <w:r w:rsidR="005A262D"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โทร 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02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111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r w:rsidRPr="006937DA">
        <w:rPr>
          <w:rFonts w:asciiTheme="minorBidi" w:eastAsia="Times New Roman" w:hAnsiTheme="minorBidi"/>
          <w:color w:val="000000" w:themeColor="text1"/>
          <w:sz w:val="30"/>
          <w:szCs w:val="30"/>
        </w:rPr>
        <w:t>9999 </w:t>
      </w:r>
      <w:r w:rsidR="006937DA" w:rsidRPr="006937DA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</w:p>
    <w:p w14:paraId="0EA22076" w14:textId="77777777" w:rsidR="00AE5F3A" w:rsidRPr="006937DA" w:rsidRDefault="00AE5F3A" w:rsidP="006937DA">
      <w:pPr>
        <w:spacing w:after="0" w:line="240" w:lineRule="auto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14:paraId="7CC41034" w14:textId="773891A1" w:rsidR="00BB2CCA" w:rsidRPr="006937DA" w:rsidRDefault="00BB2CCA" w:rsidP="006937DA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Marketing Strategy </w:t>
      </w:r>
    </w:p>
    <w:p w14:paraId="5037BF87" w14:textId="5A267492" w:rsidR="00F15044" w:rsidRDefault="006937DA" w:rsidP="006937DA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17</w:t>
      </w:r>
      <w:r w:rsidR="004E7896" w:rsidRPr="006937DA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F47F38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มกราคม</w:t>
      </w:r>
      <w:r w:rsidR="00F15044" w:rsidRPr="006937DA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BA7B8D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2566</w:t>
      </w:r>
    </w:p>
    <w:p w14:paraId="66A76C82" w14:textId="77777777" w:rsidR="00534433" w:rsidRPr="006937DA" w:rsidRDefault="00534433" w:rsidP="006937DA">
      <w:pPr>
        <w:pStyle w:val="ListParagraph"/>
        <w:jc w:val="thaiDistribute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</w:pPr>
    </w:p>
    <w:sectPr w:rsidR="00534433" w:rsidRPr="006937DA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7BF1"/>
    <w:multiLevelType w:val="hybridMultilevel"/>
    <w:tmpl w:val="CB842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E49D0"/>
    <w:multiLevelType w:val="hybridMultilevel"/>
    <w:tmpl w:val="2214C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0A23366">
      <w:start w:val="1"/>
      <w:numFmt w:val="bullet"/>
      <w:lvlText w:val="˗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F910DD"/>
    <w:multiLevelType w:val="hybridMultilevel"/>
    <w:tmpl w:val="52D4FAFE"/>
    <w:lvl w:ilvl="0" w:tplc="97205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EB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6A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25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0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05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45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F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3B2514"/>
    <w:multiLevelType w:val="hybridMultilevel"/>
    <w:tmpl w:val="4812694A"/>
    <w:lvl w:ilvl="0" w:tplc="90A23366">
      <w:start w:val="1"/>
      <w:numFmt w:val="bullet"/>
      <w:lvlText w:val="˗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1725A45"/>
    <w:multiLevelType w:val="hybridMultilevel"/>
    <w:tmpl w:val="993E71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1037C7F"/>
    <w:multiLevelType w:val="hybridMultilevel"/>
    <w:tmpl w:val="94D07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374C46"/>
    <w:multiLevelType w:val="hybridMultilevel"/>
    <w:tmpl w:val="9C72664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F7A68E6"/>
    <w:multiLevelType w:val="hybridMultilevel"/>
    <w:tmpl w:val="2EB40C44"/>
    <w:lvl w:ilvl="0" w:tplc="90A23366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1D3F39"/>
    <w:multiLevelType w:val="hybridMultilevel"/>
    <w:tmpl w:val="5270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A23366">
      <w:start w:val="1"/>
      <w:numFmt w:val="bullet"/>
      <w:lvlText w:val="˗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296F4E"/>
    <w:multiLevelType w:val="hybridMultilevel"/>
    <w:tmpl w:val="BBFC37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0A23366">
      <w:start w:val="1"/>
      <w:numFmt w:val="bullet"/>
      <w:lvlText w:val="˗"/>
      <w:lvlJc w:val="left"/>
      <w:pPr>
        <w:ind w:left="2520" w:hanging="360"/>
      </w:pPr>
      <w:rPr>
        <w:rFonts w:ascii="Courier New" w:hAnsi="Courier New" w:hint="default"/>
      </w:rPr>
    </w:lvl>
    <w:lvl w:ilvl="2" w:tplc="90A23366">
      <w:start w:val="1"/>
      <w:numFmt w:val="bullet"/>
      <w:lvlText w:val="˗"/>
      <w:lvlJc w:val="left"/>
      <w:pPr>
        <w:ind w:left="32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9C4265"/>
    <w:multiLevelType w:val="hybridMultilevel"/>
    <w:tmpl w:val="CA54984A"/>
    <w:lvl w:ilvl="0" w:tplc="90A23366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10236"/>
    <w:rsid w:val="00040E7D"/>
    <w:rsid w:val="000C1820"/>
    <w:rsid w:val="000E6D1E"/>
    <w:rsid w:val="001031B0"/>
    <w:rsid w:val="00105FFB"/>
    <w:rsid w:val="0013778B"/>
    <w:rsid w:val="00186B67"/>
    <w:rsid w:val="001B173E"/>
    <w:rsid w:val="001D27D7"/>
    <w:rsid w:val="00233254"/>
    <w:rsid w:val="0028125C"/>
    <w:rsid w:val="002F59D0"/>
    <w:rsid w:val="003523D4"/>
    <w:rsid w:val="00396966"/>
    <w:rsid w:val="003976B8"/>
    <w:rsid w:val="003F493E"/>
    <w:rsid w:val="004125CE"/>
    <w:rsid w:val="00471608"/>
    <w:rsid w:val="004778D3"/>
    <w:rsid w:val="00487C78"/>
    <w:rsid w:val="004C1EDD"/>
    <w:rsid w:val="004E0F5D"/>
    <w:rsid w:val="004E7896"/>
    <w:rsid w:val="005050FE"/>
    <w:rsid w:val="00534433"/>
    <w:rsid w:val="005432BF"/>
    <w:rsid w:val="00556E6D"/>
    <w:rsid w:val="00557024"/>
    <w:rsid w:val="00582850"/>
    <w:rsid w:val="005939EF"/>
    <w:rsid w:val="00597045"/>
    <w:rsid w:val="005A262D"/>
    <w:rsid w:val="005C04EB"/>
    <w:rsid w:val="00611150"/>
    <w:rsid w:val="006152F3"/>
    <w:rsid w:val="00675B73"/>
    <w:rsid w:val="00683F26"/>
    <w:rsid w:val="006937DA"/>
    <w:rsid w:val="006F0898"/>
    <w:rsid w:val="00740529"/>
    <w:rsid w:val="00783AC6"/>
    <w:rsid w:val="00796FED"/>
    <w:rsid w:val="007C63F3"/>
    <w:rsid w:val="00810ADA"/>
    <w:rsid w:val="00814C5F"/>
    <w:rsid w:val="00884AC0"/>
    <w:rsid w:val="0089502F"/>
    <w:rsid w:val="008A2BE6"/>
    <w:rsid w:val="008B265A"/>
    <w:rsid w:val="008B6719"/>
    <w:rsid w:val="008D0132"/>
    <w:rsid w:val="008D150E"/>
    <w:rsid w:val="008D28CD"/>
    <w:rsid w:val="008D6A49"/>
    <w:rsid w:val="0091721F"/>
    <w:rsid w:val="00933709"/>
    <w:rsid w:val="0095016E"/>
    <w:rsid w:val="00970A6B"/>
    <w:rsid w:val="0097231D"/>
    <w:rsid w:val="00974806"/>
    <w:rsid w:val="009A15F6"/>
    <w:rsid w:val="009F2CFC"/>
    <w:rsid w:val="009F5169"/>
    <w:rsid w:val="00A461CA"/>
    <w:rsid w:val="00A566F0"/>
    <w:rsid w:val="00A64B41"/>
    <w:rsid w:val="00A70224"/>
    <w:rsid w:val="00A831F5"/>
    <w:rsid w:val="00A93818"/>
    <w:rsid w:val="00AA7025"/>
    <w:rsid w:val="00AE5F3A"/>
    <w:rsid w:val="00B47BED"/>
    <w:rsid w:val="00B64874"/>
    <w:rsid w:val="00B72268"/>
    <w:rsid w:val="00B77A7A"/>
    <w:rsid w:val="00B92A07"/>
    <w:rsid w:val="00BA569A"/>
    <w:rsid w:val="00BA7B8D"/>
    <w:rsid w:val="00BB2CCA"/>
    <w:rsid w:val="00BF4C31"/>
    <w:rsid w:val="00BF4D5A"/>
    <w:rsid w:val="00C14395"/>
    <w:rsid w:val="00C425A3"/>
    <w:rsid w:val="00C52EBF"/>
    <w:rsid w:val="00CB2B89"/>
    <w:rsid w:val="00CC636A"/>
    <w:rsid w:val="00CE524A"/>
    <w:rsid w:val="00CF0C07"/>
    <w:rsid w:val="00D21E26"/>
    <w:rsid w:val="00DA3C7F"/>
    <w:rsid w:val="00DD45A8"/>
    <w:rsid w:val="00DE27BD"/>
    <w:rsid w:val="00DF14DC"/>
    <w:rsid w:val="00E52A6F"/>
    <w:rsid w:val="00E70BF3"/>
    <w:rsid w:val="00E86CA8"/>
    <w:rsid w:val="00EB7AB0"/>
    <w:rsid w:val="00EC4169"/>
    <w:rsid w:val="00EC6261"/>
    <w:rsid w:val="00ED4400"/>
    <w:rsid w:val="00F126BB"/>
    <w:rsid w:val="00F15044"/>
    <w:rsid w:val="00F27340"/>
    <w:rsid w:val="00F30F17"/>
    <w:rsid w:val="00F47F38"/>
    <w:rsid w:val="00F80624"/>
    <w:rsid w:val="00F8218C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6A5F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styleId="Revision">
    <w:name w:val="Revision"/>
    <w:hidden/>
    <w:uiPriority w:val="99"/>
    <w:semiHidden/>
    <w:rsid w:val="00BF4C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4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24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1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60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60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608"/>
    <w:rPr>
      <w:b/>
      <w:bCs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96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7D"/>
    <w:rPr>
      <w:rFonts w:ascii="Segoe UI" w:hAnsi="Segoe UI" w:cs="Angsana New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6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C402-9510-42FC-9687-367A5EF0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2022-12-19T04:15:00Z</cp:lastPrinted>
  <dcterms:created xsi:type="dcterms:W3CDTF">2023-01-17T05:41:00Z</dcterms:created>
  <dcterms:modified xsi:type="dcterms:W3CDTF">2023-01-17T05:41:00Z</dcterms:modified>
</cp:coreProperties>
</file>