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02C" w14:textId="63699B0D" w:rsidR="006F0053" w:rsidRDefault="006F0053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56E3F0A" w14:textId="38284D14" w:rsidR="006F0053" w:rsidRDefault="006F0053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Pr="006F0053">
        <w:rPr>
          <w:rFonts w:asciiTheme="minorBidi" w:hAnsiTheme="minorBidi" w:cstheme="minorBidi"/>
          <w:noProof/>
          <w:sz w:val="28"/>
          <w:cs/>
        </w:rPr>
        <w:t xml:space="preserve"> </w:t>
      </w:r>
      <w:r>
        <w:rPr>
          <w:rFonts w:asciiTheme="minorBidi" w:hAnsiTheme="minorBidi" w:cstheme="minorBidi"/>
          <w:noProof/>
          <w:sz w:val="28"/>
        </w:rPr>
        <w:t>11</w:t>
      </w:r>
      <w:r w:rsidRPr="006F0053">
        <w:rPr>
          <w:rFonts w:asciiTheme="minorBidi" w:hAnsiTheme="minorBidi" w:cstheme="minorBidi"/>
          <w:noProof/>
          <w:sz w:val="28"/>
          <w:cs/>
        </w:rPr>
        <w:t xml:space="preserve"> มกราคม </w:t>
      </w:r>
      <w:r>
        <w:rPr>
          <w:rFonts w:asciiTheme="minorBidi" w:hAnsiTheme="minorBidi" w:cstheme="minorBidi"/>
          <w:noProof/>
          <w:sz w:val="28"/>
        </w:rPr>
        <w:t>2</w:t>
      </w:r>
      <w:r w:rsidR="00D37D3F">
        <w:rPr>
          <w:rFonts w:asciiTheme="minorBidi" w:hAnsiTheme="minorBidi" w:cstheme="minorBidi"/>
          <w:noProof/>
          <w:sz w:val="28"/>
        </w:rPr>
        <w:t>56</w:t>
      </w:r>
      <w:r w:rsidR="00232597">
        <w:rPr>
          <w:rFonts w:asciiTheme="minorBidi" w:hAnsiTheme="minorBidi" w:cstheme="minorBidi"/>
          <w:noProof/>
          <w:sz w:val="28"/>
        </w:rPr>
        <w:t>6</w:t>
      </w:r>
    </w:p>
    <w:p w14:paraId="5FC0302E" w14:textId="77777777" w:rsidR="00E527C8" w:rsidRPr="006F0053" w:rsidRDefault="00E527C8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0C3C11AF" w14:textId="77777777" w:rsidR="006F0053" w:rsidRPr="003E4C36" w:rsidRDefault="006F0053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76570520"/>
      <w:bookmarkEnd w:id="0"/>
      <w:r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B344A7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777F2643" w14:textId="77777777" w:rsidR="006F0053" w:rsidRPr="00B344A7" w:rsidRDefault="006F0053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416588">
        <w:rPr>
          <w:rFonts w:ascii="Cordia New" w:hAnsi="Cordia New" w:cs="Cordia New" w:hint="cs"/>
          <w:b/>
          <w:bCs/>
          <w:sz w:val="32"/>
          <w:szCs w:val="32"/>
        </w:rPr>
        <w:t>4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 w:rsidRPr="00686EEB">
        <w:rPr>
          <w:rFonts w:ascii="Cordia New" w:hAnsi="Cordia New" w:cs="Cordia New" w:hint="cs"/>
          <w:b/>
          <w:bCs/>
          <w:sz w:val="32"/>
          <w:szCs w:val="32"/>
        </w:rPr>
        <w:t>5</w:t>
      </w:r>
    </w:p>
    <w:p w14:paraId="66640655" w14:textId="77777777" w:rsidR="006F0053" w:rsidRPr="00901F18" w:rsidRDefault="006F0053" w:rsidP="006F0053">
      <w:pPr>
        <w:pStyle w:val="ae"/>
        <w:jc w:val="center"/>
        <w:rPr>
          <w:rFonts w:ascii="Cordia New" w:hAnsi="Cordia New" w:cs="Cordia New"/>
          <w:b/>
          <w:bCs/>
          <w:szCs w:val="22"/>
        </w:rPr>
      </w:pPr>
    </w:p>
    <w:p w14:paraId="2653D6C7" w14:textId="77777777" w:rsidR="006F0053" w:rsidRPr="003E4C36" w:rsidRDefault="006F0053" w:rsidP="006F0053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79635958" w14:textId="09AE076D" w:rsidR="006F0053" w:rsidRDefault="008160BB" w:rsidP="006F0053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004945">
        <w:rPr>
          <w:rFonts w:ascii="Cordia New" w:hAnsi="Cordia New" w:cs="Cordia New" w:hint="cs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="Cordia New" w:hAnsi="Cordia New" w:cs="Cordia New" w:hint="cs"/>
          <w:sz w:val="32"/>
          <w:szCs w:val="32"/>
          <w:cs/>
        </w:rPr>
        <w:t>รายงาน</w:t>
      </w:r>
      <w:r w:rsidR="006F0053" w:rsidRPr="00B344A7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="006F0053" w:rsidRPr="009A1056">
        <w:rPr>
          <w:rFonts w:ascii="Cordia New" w:hAnsi="Cordia New" w:cs="Cordia New"/>
          <w:sz w:val="32"/>
          <w:szCs w:val="32"/>
        </w:rPr>
        <w:t xml:space="preserve">– 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="006F0053" w:rsidRPr="00B344A7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="006F0053" w:rsidRPr="00FD27AB">
        <w:rPr>
          <w:rFonts w:ascii="Cordia New" w:hAnsi="Cordia New" w:cs="Cordia New"/>
          <w:sz w:val="32"/>
          <w:szCs w:val="32"/>
        </w:rPr>
        <w:t xml:space="preserve">Current Situation Index)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6F0053">
        <w:rPr>
          <w:rFonts w:ascii="Cordia New" w:hAnsi="Cordia New" w:cs="Cordia New"/>
          <w:sz w:val="32"/>
          <w:szCs w:val="32"/>
        </w:rPr>
        <w:t>4</w:t>
      </w:r>
      <w:r w:rsidR="006F0053" w:rsidRPr="009A1056">
        <w:rPr>
          <w:rFonts w:ascii="Cordia New" w:hAnsi="Cordia New" w:cs="Cordia New"/>
          <w:sz w:val="32"/>
          <w:szCs w:val="32"/>
        </w:rPr>
        <w:t xml:space="preserve"> 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ปี </w:t>
      </w:r>
      <w:r w:rsidR="006F0053" w:rsidRPr="009A1056">
        <w:rPr>
          <w:rFonts w:ascii="Cordia New" w:hAnsi="Cordia New" w:cs="Cordia New"/>
          <w:sz w:val="32"/>
          <w:szCs w:val="32"/>
        </w:rPr>
        <w:t>256</w:t>
      </w:r>
      <w:r w:rsidR="006F0053" w:rsidRPr="00686EEB">
        <w:rPr>
          <w:rFonts w:ascii="Cordia New" w:hAnsi="Cordia New" w:cs="Cordia New" w:hint="cs"/>
          <w:sz w:val="32"/>
          <w:szCs w:val="32"/>
        </w:rPr>
        <w:t>5</w:t>
      </w:r>
      <w:r w:rsidR="006F0053" w:rsidRPr="009A1056">
        <w:rPr>
          <w:rFonts w:ascii="Cordia New" w:hAnsi="Cordia New" w:cs="Cordia New"/>
          <w:sz w:val="32"/>
          <w:szCs w:val="32"/>
        </w:rPr>
        <w:t xml:space="preserve"> 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6F0053" w:rsidRPr="00F036E0">
        <w:rPr>
          <w:rFonts w:ascii="Cordia New" w:hAnsi="Cordia New" w:cs="Cordia New" w:hint="cs"/>
          <w:sz w:val="32"/>
          <w:szCs w:val="32"/>
        </w:rPr>
        <w:t>51</w:t>
      </w:r>
      <w:r w:rsidR="006F0053">
        <w:rPr>
          <w:rFonts w:ascii="Cordia New" w:hAnsi="Cordia New" w:cs="Cordia New"/>
          <w:sz w:val="32"/>
          <w:szCs w:val="32"/>
        </w:rPr>
        <w:t xml:space="preserve">.5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ลดลงเล็กน้อย</w:t>
      </w:r>
      <w:r w:rsidR="006F0053" w:rsidRPr="00B344A7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 (</w:t>
      </w:r>
      <w:proofErr w:type="spellStart"/>
      <w:r w:rsidR="006F0053" w:rsidRPr="00416588">
        <w:rPr>
          <w:rFonts w:ascii="Cordia New" w:hAnsi="Cordia New" w:cs="Cordia New"/>
          <w:sz w:val="32"/>
          <w:szCs w:val="32"/>
        </w:rPr>
        <w:t>QoQ</w:t>
      </w:r>
      <w:proofErr w:type="spellEnd"/>
      <w:r w:rsidR="006F0053" w:rsidRPr="00416588">
        <w:rPr>
          <w:rFonts w:ascii="Cordia New" w:hAnsi="Cordia New" w:cs="Cordia New"/>
          <w:sz w:val="32"/>
          <w:szCs w:val="32"/>
        </w:rPr>
        <w:t xml:space="preserve">) </w:t>
      </w:r>
      <w:bookmarkStart w:id="2" w:name="_Hlk76572473"/>
      <w:r w:rsidR="006F0053" w:rsidRPr="00B344A7">
        <w:rPr>
          <w:rFonts w:ascii="Cordia New" w:hAnsi="Cordia New" w:cs="Cordia New" w:hint="cs"/>
          <w:sz w:val="32"/>
          <w:szCs w:val="32"/>
          <w:cs/>
        </w:rPr>
        <w:t>ที่มี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ค่าดัชนีเท่ากับ </w:t>
      </w:r>
      <w:bookmarkEnd w:id="2"/>
      <w:r w:rsidR="006F0053" w:rsidRPr="00416588">
        <w:rPr>
          <w:rFonts w:ascii="Cordia New" w:hAnsi="Cordia New" w:cs="Cordia New"/>
          <w:sz w:val="32"/>
          <w:szCs w:val="32"/>
        </w:rPr>
        <w:t xml:space="preserve">51.8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และ</w:t>
      </w:r>
      <w:r w:rsidR="006F0053" w:rsidRPr="00B344A7">
        <w:rPr>
          <w:rFonts w:ascii="Cordia New" w:hAnsi="Cordia New" w:cs="Cordia New"/>
          <w:sz w:val="32"/>
          <w:szCs w:val="32"/>
          <w:cs/>
        </w:rPr>
        <w:t>มีความเชื่อมั่น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ลดลงเล็กน้อยเมื่อเทียบกับช่วงเวลาเดียวของปีก่อน </w:t>
      </w:r>
      <w:r w:rsidR="006F0053" w:rsidRPr="00416588">
        <w:rPr>
          <w:rFonts w:ascii="Cordia New" w:hAnsi="Cordia New" w:cs="Cordia New"/>
          <w:sz w:val="32"/>
          <w:szCs w:val="32"/>
        </w:rPr>
        <w:t xml:space="preserve">(YoY)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ที่มีค่าดัชนีเท่ากับ </w:t>
      </w:r>
      <w:r w:rsidR="006F0053" w:rsidRPr="00416588">
        <w:rPr>
          <w:rFonts w:ascii="Cordia New" w:hAnsi="Cordia New" w:cs="Cordia New" w:hint="cs"/>
          <w:sz w:val="32"/>
          <w:szCs w:val="32"/>
        </w:rPr>
        <w:t>52.0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 แต่ยังคงสูงกว่า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="006F0053" w:rsidRPr="00416588">
        <w:rPr>
          <w:rFonts w:ascii="Cordia New" w:hAnsi="Cordia New" w:cs="Cordia New"/>
          <w:sz w:val="32"/>
          <w:szCs w:val="32"/>
        </w:rPr>
        <w:t>50.0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 ซึ่งสะท้อนให้เห็นว่าผู้ประกอบการในภาพรวมยังคง</w:t>
      </w:r>
      <w:r w:rsidR="006F0053" w:rsidRPr="00B344A7">
        <w:rPr>
          <w:rFonts w:ascii="Cordia New" w:hAnsi="Cordia New" w:cs="Cordia New"/>
          <w:sz w:val="32"/>
          <w:szCs w:val="32"/>
          <w:cs/>
        </w:rPr>
        <w:t>มีความเชื่อมั่นต่อธุรกิจในภาวะปัจจุบัน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45F8802" w14:textId="77777777" w:rsidR="00C66CB8" w:rsidRPr="00E91772" w:rsidRDefault="00C66CB8" w:rsidP="006F0053">
      <w:pPr>
        <w:pStyle w:val="ae"/>
        <w:ind w:firstLine="720"/>
        <w:jc w:val="thaiDistribute"/>
        <w:rPr>
          <w:rFonts w:ascii="Cordia New" w:hAnsi="Cordia New" w:cs="Cordia New"/>
          <w:sz w:val="14"/>
          <w:szCs w:val="14"/>
          <w:cs/>
        </w:rPr>
      </w:pPr>
    </w:p>
    <w:p w14:paraId="736788FD" w14:textId="4A888BED" w:rsidR="006F0053" w:rsidRDefault="008160BB" w:rsidP="006F0053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349CE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34620">
        <w:rPr>
          <w:rFonts w:ascii="Cordia New" w:hAnsi="Cordia New" w:cs="Cordia New" w:hint="cs"/>
          <w:spacing w:val="-6"/>
          <w:sz w:val="32"/>
          <w:szCs w:val="32"/>
          <w:cs/>
        </w:rPr>
        <w:t>กล่าวว่า</w:t>
      </w:r>
      <w:r w:rsidRPr="00A34620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6F0053" w:rsidRPr="00B344A7">
        <w:rPr>
          <w:rFonts w:ascii="Cordia New" w:hAnsi="Cordia New" w:cs="Cordia New"/>
          <w:sz w:val="32"/>
          <w:szCs w:val="32"/>
          <w:cs/>
        </w:rPr>
        <w:t>ดัชนี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ความเชื่อมั่นที่ลดลงเล็กน้อยใน</w:t>
      </w:r>
      <w:r w:rsidR="006F0053" w:rsidRPr="00B344A7">
        <w:rPr>
          <w:rFonts w:ascii="Cordia New" w:hAnsi="Cordia New" w:cs="Cordia New"/>
          <w:sz w:val="32"/>
          <w:szCs w:val="32"/>
          <w:cs/>
        </w:rPr>
        <w:t>ไตรมาสนี้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 เมื่อพิจารณาที่มาของการลดลงพบว่า มีความเชื่อมั่นในด้านผลประกอบการ ยอดขาย การจ้างงาน และการเปิดโครงการใหม่และ/หรือ</w:t>
      </w:r>
      <w:proofErr w:type="spellStart"/>
      <w:r w:rsidR="006F0053" w:rsidRPr="00B344A7">
        <w:rPr>
          <w:rFonts w:ascii="Cordia New" w:hAnsi="Cordia New" w:cs="Cordia New" w:hint="cs"/>
          <w:sz w:val="32"/>
          <w:szCs w:val="32"/>
          <w:cs/>
        </w:rPr>
        <w:t>เฟส</w:t>
      </w:r>
      <w:proofErr w:type="spellEnd"/>
      <w:r w:rsidR="006F0053" w:rsidRPr="00B344A7">
        <w:rPr>
          <w:rFonts w:ascii="Cordia New" w:hAnsi="Cordia New" w:cs="Cordia New" w:hint="cs"/>
          <w:sz w:val="32"/>
          <w:szCs w:val="32"/>
          <w:cs/>
        </w:rPr>
        <w:t>ใหม่ ที่ลดลงระหว่าง -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1.7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ถึง -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2.3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หน่วย ซึ่งอาจเป็นผลมาจากภาวะทิศทางดอกเบี้ยขาขึ้นในประเทศ โดยช่วงไตรมาส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4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2565 </w:t>
      </w:r>
      <w:r w:rsidR="00E91772">
        <w:rPr>
          <w:rFonts w:ascii="Cordia New" w:hAnsi="Cordia New" w:cs="Cordia New" w:hint="cs"/>
          <w:sz w:val="32"/>
          <w:szCs w:val="32"/>
          <w:cs/>
        </w:rPr>
        <w:t>โดยมี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การปรับขึ้นอัตราดอกเบี้ยของ กนง. ในช่วงเวลาใกล้เคียง คือ วันที่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28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กันยายน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2565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30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พฤศจิกายน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2565 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แต่มีความเชื่อมั่นในด้านการลงทุนและต้นทุนผลประกอบการที่ปรับเพิ่มขึ้นจากระดับถึง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1.8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6F0053" w:rsidRPr="00416588">
        <w:rPr>
          <w:rFonts w:ascii="Cordia New" w:hAnsi="Cordia New" w:cs="Cordia New" w:hint="cs"/>
          <w:sz w:val="32"/>
          <w:szCs w:val="32"/>
        </w:rPr>
        <w:t xml:space="preserve">4.4 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>หน่วย ตามลำดับ ซึ่งสะท้อนว่า ผู้ประกอบการ</w:t>
      </w:r>
      <w:r w:rsidR="006F0053" w:rsidRPr="00B344A7">
        <w:rPr>
          <w:rFonts w:ascii="Cordia New" w:hAnsi="Cordia New" w:cs="Cordia New"/>
          <w:sz w:val="32"/>
          <w:szCs w:val="32"/>
          <w:cs/>
        </w:rPr>
        <w:t xml:space="preserve">ธุรกิจพัฒนาที่อยู่อาศัยในกรุงเทพฯ </w:t>
      </w:r>
      <w:r w:rsidR="006F0053" w:rsidRPr="00416588">
        <w:rPr>
          <w:rFonts w:ascii="Cordia New" w:hAnsi="Cordia New" w:cs="Cordia New"/>
          <w:sz w:val="32"/>
          <w:szCs w:val="32"/>
        </w:rPr>
        <w:t xml:space="preserve">– </w:t>
      </w:r>
      <w:r w:rsidR="006F0053" w:rsidRPr="00B344A7">
        <w:rPr>
          <w:rFonts w:ascii="Cordia New" w:hAnsi="Cordia New" w:cs="Cordia New"/>
          <w:sz w:val="32"/>
          <w:szCs w:val="32"/>
          <w:cs/>
        </w:rPr>
        <w:t>ปริมณฑล</w:t>
      </w:r>
      <w:r w:rsidR="006F0053" w:rsidRPr="00B344A7">
        <w:rPr>
          <w:rFonts w:ascii="Cordia New" w:hAnsi="Cordia New" w:cs="Cordia New" w:hint="cs"/>
          <w:sz w:val="32"/>
          <w:szCs w:val="32"/>
          <w:cs/>
        </w:rPr>
        <w:t xml:space="preserve">ยังคงมีความมั่นใจในการลงทุนในการพัฒนาที่อยู่อาศัยอย่างต่อเนื่องในปี </w:t>
      </w:r>
      <w:r w:rsidR="006F0053" w:rsidRPr="00416588">
        <w:rPr>
          <w:rFonts w:ascii="Cordia New" w:hAnsi="Cordia New" w:cs="Cordia New" w:hint="cs"/>
          <w:sz w:val="32"/>
          <w:szCs w:val="32"/>
        </w:rPr>
        <w:t>2566</w:t>
      </w:r>
    </w:p>
    <w:p w14:paraId="65FF5435" w14:textId="024A3414" w:rsidR="006F0053" w:rsidRPr="00686EEB" w:rsidRDefault="006F0053" w:rsidP="006F0053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B344A7">
        <w:rPr>
          <w:rFonts w:ascii="Cordia New" w:hAnsi="Cordia New" w:cs="Cordia New"/>
          <w:sz w:val="32"/>
          <w:szCs w:val="32"/>
          <w:cs/>
        </w:rPr>
        <w:t>เมื่อ</w:t>
      </w:r>
      <w:r w:rsidRPr="00B344A7">
        <w:rPr>
          <w:rFonts w:ascii="Cordia New" w:hAnsi="Cordia New" w:cs="Cordia New" w:hint="cs"/>
          <w:sz w:val="32"/>
          <w:szCs w:val="32"/>
          <w:cs/>
        </w:rPr>
        <w:t>จำแนกความเชื่อมั่นตาม</w:t>
      </w:r>
      <w:r w:rsidRPr="00B344A7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4B7FB7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 xml:space="preserve">Companies </w:t>
      </w:r>
      <w:r w:rsidRPr="00B344A7">
        <w:rPr>
          <w:rFonts w:ascii="Cordia New" w:hAnsi="Cordia New" w:cs="Cordia New" w:hint="cs"/>
          <w:sz w:val="32"/>
          <w:szCs w:val="32"/>
          <w:cs/>
        </w:rPr>
        <w:t>ใน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416588">
        <w:rPr>
          <w:rFonts w:ascii="Cordia New" w:hAnsi="Cordia New" w:cs="Cordia New" w:hint="cs"/>
          <w:sz w:val="32"/>
          <w:szCs w:val="32"/>
        </w:rPr>
        <w:t>4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>5</w:t>
      </w:r>
      <w:r w:rsidRPr="00416588">
        <w:rPr>
          <w:rFonts w:ascii="Cordia New" w:hAnsi="Cordia New" w:cs="Cordia New" w:hint="cs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.</w:t>
      </w:r>
      <w:r w:rsidRPr="00416588">
        <w:rPr>
          <w:rFonts w:ascii="Cordia New" w:hAnsi="Cordia New" w:cs="Cordia New" w:hint="cs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ต่ำกว่า</w:t>
      </w:r>
      <w:r w:rsidRPr="00B344A7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B344A7">
        <w:rPr>
          <w:rFonts w:ascii="Cordia New" w:hAnsi="Cordia New" w:cs="Cordia New" w:hint="cs"/>
          <w:sz w:val="32"/>
          <w:szCs w:val="32"/>
          <w:cs/>
        </w:rPr>
        <w:t>ที่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 w:rsidRPr="00416588">
        <w:rPr>
          <w:rFonts w:ascii="Cordia New" w:hAnsi="Cordia New" w:cs="Cordia New" w:hint="cs"/>
          <w:sz w:val="32"/>
          <w:szCs w:val="32"/>
        </w:rPr>
        <w:t>58.0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ซึ่งเป็นผลจากความเชื่อมั่นในด้านผลประกอบการ ยอดขาย  </w:t>
      </w:r>
      <w:r w:rsidR="00E91772" w:rsidRPr="00B344A7">
        <w:rPr>
          <w:rFonts w:ascii="Cordia New" w:hAnsi="Cordia New" w:cs="Cordia New" w:hint="cs"/>
          <w:sz w:val="32"/>
          <w:szCs w:val="32"/>
          <w:cs/>
        </w:rPr>
        <w:t>การจ้างงาน และการเปิดโครงการใหม่และ/หรือ</w:t>
      </w:r>
      <w:proofErr w:type="spellStart"/>
      <w:r w:rsidR="00E91772" w:rsidRPr="00B344A7">
        <w:rPr>
          <w:rFonts w:ascii="Cordia New" w:hAnsi="Cordia New" w:cs="Cordia New" w:hint="cs"/>
          <w:sz w:val="32"/>
          <w:szCs w:val="32"/>
          <w:cs/>
        </w:rPr>
        <w:t>เฟส</w:t>
      </w:r>
      <w:proofErr w:type="spellEnd"/>
      <w:r w:rsidR="00E91772" w:rsidRPr="00B344A7">
        <w:rPr>
          <w:rFonts w:ascii="Cordia New" w:hAnsi="Cordia New" w:cs="Cordia New" w:hint="cs"/>
          <w:sz w:val="32"/>
          <w:szCs w:val="32"/>
          <w:cs/>
        </w:rPr>
        <w:t>ใหม่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แต่ยังคง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สูงกว่าค่ากลางที่ระดับ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 </w:t>
      </w:r>
    </w:p>
    <w:p w14:paraId="0F4E70AA" w14:textId="0856D304" w:rsidR="006F0053" w:rsidRDefault="006F0053" w:rsidP="006F0053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B344A7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 w:rsidRPr="00B344A7">
        <w:rPr>
          <w:rFonts w:ascii="Cordia New" w:hAnsi="Cordia New" w:cs="Cordia New" w:hint="cs"/>
          <w:sz w:val="32"/>
          <w:szCs w:val="32"/>
          <w:cs/>
        </w:rPr>
        <w:t>ใน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416588">
        <w:rPr>
          <w:rFonts w:ascii="Cordia New" w:hAnsi="Cordia New" w:cs="Cordia New" w:hint="cs"/>
          <w:sz w:val="32"/>
          <w:szCs w:val="32"/>
        </w:rPr>
        <w:t>4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B344A7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B344A7">
        <w:rPr>
          <w:rFonts w:ascii="Cordia New" w:hAnsi="Cordia New" w:cs="Cordia New"/>
          <w:sz w:val="32"/>
          <w:szCs w:val="32"/>
          <w:cs/>
        </w:rPr>
        <w:t>เท่ากับ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46.0</w:t>
      </w:r>
      <w:r w:rsidRPr="00416588">
        <w:rPr>
          <w:rFonts w:ascii="Cordia New" w:hAnsi="Cordia New" w:cs="Cordia New"/>
          <w:sz w:val="32"/>
          <w:szCs w:val="32"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Pr="00B344A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B344A7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B344A7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 </w:t>
      </w:r>
      <w:r w:rsidRPr="005619E4">
        <w:rPr>
          <w:rFonts w:ascii="Cordia New" w:hAnsi="Cordia New" w:cs="Cordia New"/>
          <w:sz w:val="32"/>
          <w:szCs w:val="32"/>
        </w:rPr>
        <w:t xml:space="preserve">42.6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และเป็นการเพิ่มขึ้นของความเชื่อมั่นในทุกด้าน </w:t>
      </w:r>
      <w:r w:rsidRPr="00B344A7">
        <w:rPr>
          <w:rFonts w:ascii="Cordia New" w:hAnsi="Cordia New" w:cs="Cordia New" w:hint="cs"/>
          <w:sz w:val="32"/>
          <w:szCs w:val="32"/>
          <w:cs/>
        </w:rPr>
        <w:t>แ</w:t>
      </w:r>
      <w:r w:rsidR="00E91772">
        <w:rPr>
          <w:rFonts w:ascii="Cordia New" w:hAnsi="Cordia New" w:cs="Cordia New" w:hint="cs"/>
          <w:sz w:val="32"/>
          <w:szCs w:val="32"/>
          <w:cs/>
        </w:rPr>
        <w:t>ม้ว่าจะ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ยังคงต่ำกว่าค่ากลางที่ระดับ </w:t>
      </w:r>
      <w:r w:rsidRPr="00A40A5E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A40A5E">
        <w:rPr>
          <w:rFonts w:ascii="Cordia New" w:hAnsi="Cordia New" w:cs="Cordia New" w:hint="cs"/>
          <w:sz w:val="32"/>
          <w:szCs w:val="32"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>แต่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</w:t>
      </w:r>
      <w:r w:rsidRPr="00306D0B">
        <w:rPr>
          <w:rFonts w:ascii="Cordia New" w:hAnsi="Cordia New" w:cs="Cordia New"/>
          <w:sz w:val="32"/>
          <w:szCs w:val="32"/>
        </w:rPr>
        <w:t>Companies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>ยังมี</w:t>
      </w:r>
      <w:r w:rsidRPr="00B344A7">
        <w:rPr>
          <w:rFonts w:ascii="Cordia New" w:hAnsi="Cordia New" w:cs="Cordia New" w:hint="cs"/>
          <w:sz w:val="32"/>
          <w:szCs w:val="32"/>
          <w:cs/>
        </w:rPr>
        <w:t>ความกังวลต่อปัจจัยลบดังกล่าวมากกว่ากลุ่ม</w:t>
      </w:r>
      <w:r w:rsidRPr="00306D0B">
        <w:rPr>
          <w:rFonts w:ascii="Cordia New" w:hAnsi="Cordia New" w:cs="Cordia New"/>
          <w:sz w:val="32"/>
          <w:szCs w:val="32"/>
        </w:rPr>
        <w:t xml:space="preserve"> Listed Companies</w:t>
      </w:r>
      <w:r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แต่เริ่มคลายความกังวลลงบ้าง </w:t>
      </w:r>
      <w:r w:rsidRPr="00306D0B">
        <w:rPr>
          <w:rFonts w:ascii="Cordia New" w:hAnsi="Cordia New" w:cs="Cordia New"/>
          <w:sz w:val="32"/>
          <w:szCs w:val="32"/>
        </w:rPr>
        <w:t>(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509E0B27" w14:textId="53183860" w:rsidR="00ED16A2" w:rsidRDefault="00ED16A2" w:rsidP="00833AB4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B344A7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B344A7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B344A7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60.5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เพิ่มขึ้นจ</w:t>
      </w:r>
      <w:r w:rsidRPr="00B344A7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5619E4">
        <w:rPr>
          <w:rFonts w:ascii="Cordia New" w:hAnsi="Cordia New" w:cs="Cordia New"/>
          <w:sz w:val="32"/>
          <w:szCs w:val="32"/>
        </w:rPr>
        <w:t>57.9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และ</w:t>
      </w:r>
      <w:r w:rsidRPr="00B344A7">
        <w:rPr>
          <w:rFonts w:ascii="Cordia New" w:hAnsi="Cordia New" w:cs="Cordia New"/>
          <w:sz w:val="32"/>
          <w:szCs w:val="32"/>
          <w:cs/>
        </w:rPr>
        <w:t>ค่าดัชนี</w:t>
      </w:r>
      <w:r w:rsidRPr="00B344A7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50.0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สะท้อนให้เห็นว่าผู้ประกอบการมีความเชื่อมั่นในมุมมองเชิงบวกต่อสถานการณ์ธุรกิจอสังหาริมทรัพย์</w:t>
      </w:r>
      <w:r w:rsidRPr="00B344A7"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5A1EC024" w14:textId="41EE6F80" w:rsidR="00ED16A2" w:rsidRPr="00B344A7" w:rsidRDefault="00ED16A2" w:rsidP="00ED16A2">
      <w:pPr>
        <w:pStyle w:val="ae"/>
        <w:ind w:firstLine="720"/>
        <w:rPr>
          <w:rFonts w:ascii="Cordia New" w:hAnsi="Cordia New" w:cs="Cordia New"/>
          <w:sz w:val="32"/>
          <w:szCs w:val="32"/>
          <w:cs/>
        </w:rPr>
      </w:pPr>
      <w:r w:rsidRPr="00B344A7">
        <w:rPr>
          <w:rFonts w:ascii="Cordia New" w:hAnsi="Cordia New" w:cs="Cordia New" w:hint="cs"/>
          <w:sz w:val="32"/>
          <w:szCs w:val="32"/>
          <w:cs/>
        </w:rPr>
        <w:t>แต่เมื่อพิจารณาถึงความเชื่อมั่นในแต่ละด้านพบว่า ความเชื่อมั่นได้เพิ่มขึ้นในด้านการลงทุน การจ้างงาน ต้นทุนการประกอบการ และการเปิดโครงการใหม่และ/หรือ</w:t>
      </w:r>
      <w:proofErr w:type="spellStart"/>
      <w:r w:rsidRPr="00B344A7">
        <w:rPr>
          <w:rFonts w:ascii="Cordia New" w:hAnsi="Cordia New" w:cs="Cordia New" w:hint="cs"/>
          <w:sz w:val="32"/>
          <w:szCs w:val="32"/>
          <w:cs/>
        </w:rPr>
        <w:t>เฟส</w:t>
      </w:r>
      <w:proofErr w:type="spellEnd"/>
      <w:r w:rsidRPr="00B344A7">
        <w:rPr>
          <w:rFonts w:ascii="Cordia New" w:hAnsi="Cordia New" w:cs="Cordia New" w:hint="cs"/>
          <w:sz w:val="32"/>
          <w:szCs w:val="32"/>
          <w:cs/>
        </w:rPr>
        <w:t xml:space="preserve">ใหม่ ที่เพิ่มขึ้นระหว่าง </w:t>
      </w:r>
      <w:r w:rsidRPr="001C3A30">
        <w:rPr>
          <w:rFonts w:ascii="Cordia New" w:hAnsi="Cordia New" w:cs="Cordia New" w:hint="cs"/>
          <w:sz w:val="32"/>
          <w:szCs w:val="32"/>
        </w:rPr>
        <w:t xml:space="preserve">2.4 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ถึง </w:t>
      </w:r>
      <w:r w:rsidRPr="001C3A30">
        <w:rPr>
          <w:rFonts w:ascii="Cordia New" w:hAnsi="Cordia New" w:cs="Cordia New" w:hint="cs"/>
          <w:sz w:val="32"/>
          <w:szCs w:val="32"/>
        </w:rPr>
        <w:t>4.</w:t>
      </w:r>
      <w:r w:rsidRPr="001C3A30">
        <w:rPr>
          <w:rFonts w:ascii="Cordia New" w:hAnsi="Cordia New" w:cs="Cordia New"/>
          <w:sz w:val="32"/>
          <w:szCs w:val="32"/>
        </w:rPr>
        <w:t>9</w:t>
      </w:r>
      <w:r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หน่วยซึ่งน่าจะเป็นผลมาจาก</w:t>
      </w:r>
      <w:r w:rsidRPr="00B344A7">
        <w:rPr>
          <w:rFonts w:ascii="Cordia New" w:hAnsi="Cordia New" w:cs="Cordia New" w:hint="cs"/>
          <w:sz w:val="32"/>
          <w:szCs w:val="32"/>
          <w:cs/>
        </w:rPr>
        <w:lastRenderedPageBreak/>
        <w:t xml:space="preserve">การฟื้นตัวทางเศรษฐกิจในภาพรวมที่ได้รับผลจาการขยายตัวของภาคการท่องเที่ยว ซึ่งจะได้รับปัจจัยสนับสนุนสำคัญจากการเปิดประเทศของจีนตั้งแต่วันที่ </w:t>
      </w:r>
      <w:r w:rsidRPr="00416588">
        <w:rPr>
          <w:rFonts w:ascii="Cordia New" w:hAnsi="Cordia New" w:cs="Cordia New" w:hint="cs"/>
          <w:sz w:val="32"/>
          <w:szCs w:val="32"/>
        </w:rPr>
        <w:t xml:space="preserve">8 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มกราคม </w:t>
      </w:r>
      <w:r w:rsidRPr="00416588">
        <w:rPr>
          <w:rFonts w:ascii="Cordia New" w:hAnsi="Cordia New" w:cs="Cordia New" w:hint="cs"/>
          <w:sz w:val="32"/>
          <w:szCs w:val="32"/>
        </w:rPr>
        <w:t xml:space="preserve">2566 </w:t>
      </w:r>
      <w:r w:rsidRPr="00B344A7">
        <w:rPr>
          <w:rFonts w:ascii="Cordia New" w:hAnsi="Cordia New" w:cs="Cordia New" w:hint="cs"/>
          <w:sz w:val="32"/>
          <w:szCs w:val="32"/>
          <w:cs/>
        </w:rPr>
        <w:t>แต่กลับพบว่า ด้านผลประกอบการ และ ยอดขาย ลดลงจากไตรมาสก่อน -</w:t>
      </w:r>
      <w:r w:rsidRPr="001C3A30">
        <w:rPr>
          <w:rFonts w:ascii="Cordia New" w:hAnsi="Cordia New" w:cs="Cordia New" w:hint="cs"/>
          <w:sz w:val="32"/>
          <w:szCs w:val="32"/>
        </w:rPr>
        <w:t>2.</w:t>
      </w:r>
      <w:r w:rsidRPr="001C3A30">
        <w:rPr>
          <w:rFonts w:ascii="Cordia New" w:hAnsi="Cordia New" w:cs="Cordia New"/>
          <w:sz w:val="32"/>
          <w:szCs w:val="32"/>
        </w:rPr>
        <w:t>1</w:t>
      </w:r>
      <w:r w:rsidRPr="001C3A30">
        <w:rPr>
          <w:rFonts w:ascii="Cordia New" w:hAnsi="Cordia New" w:cs="Cordia New" w:hint="cs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และ -</w:t>
      </w:r>
      <w:r w:rsidRPr="001C3A30">
        <w:rPr>
          <w:rFonts w:ascii="Cordia New" w:hAnsi="Cordia New" w:cs="Cordia New" w:hint="cs"/>
          <w:sz w:val="32"/>
          <w:szCs w:val="32"/>
        </w:rPr>
        <w:t xml:space="preserve">3.0 </w:t>
      </w:r>
      <w:r w:rsidRPr="00B344A7">
        <w:rPr>
          <w:rFonts w:ascii="Cordia New" w:hAnsi="Cordia New" w:cs="Cordia New" w:hint="cs"/>
          <w:sz w:val="32"/>
          <w:szCs w:val="32"/>
          <w:cs/>
        </w:rPr>
        <w:t>หน่วยตามลำดับ ซึ่งอาจเนื่องมาจาก</w:t>
      </w:r>
      <w:r w:rsidRPr="00B344A7">
        <w:rPr>
          <w:rFonts w:ascii="Cordia New" w:hAnsi="Cordia New" w:cs="Cordia New"/>
          <w:sz w:val="32"/>
          <w:szCs w:val="32"/>
          <w:cs/>
        </w:rPr>
        <w:t>การธนาคารแห่งประเทศไทย</w:t>
      </w:r>
      <w:r w:rsidRPr="00B344A7">
        <w:rPr>
          <w:rFonts w:ascii="Cordia New" w:hAnsi="Cordia New" w:cs="Cordia New" w:hint="cs"/>
          <w:sz w:val="32"/>
          <w:szCs w:val="32"/>
          <w:cs/>
        </w:rPr>
        <w:t>ได้ประกาศไม่ต่ออายุการ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ผ่อนคลายมาตรการ </w:t>
      </w:r>
      <w:r w:rsidRPr="00416588">
        <w:rPr>
          <w:rFonts w:ascii="Cordia New" w:hAnsi="Cordia New" w:cs="Cordia New"/>
          <w:sz w:val="32"/>
          <w:szCs w:val="32"/>
        </w:rPr>
        <w:t>LTV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ที่ได้สิ้นสุดไปเมื่อวันที่ </w:t>
      </w:r>
      <w:r w:rsidRPr="00416588">
        <w:rPr>
          <w:rFonts w:ascii="Cordia New" w:hAnsi="Cordia New" w:cs="Cordia New" w:hint="cs"/>
          <w:sz w:val="32"/>
          <w:szCs w:val="32"/>
        </w:rPr>
        <w:t>31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ธันวาคม </w:t>
      </w:r>
      <w:r w:rsidRPr="00416588">
        <w:rPr>
          <w:rFonts w:ascii="Cordia New" w:hAnsi="Cordia New" w:cs="Cordia New" w:hint="cs"/>
          <w:sz w:val="32"/>
          <w:szCs w:val="32"/>
        </w:rPr>
        <w:t>2565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และการที่จะมีการลด</w:t>
      </w:r>
      <w:r w:rsidRPr="00B344A7">
        <w:rPr>
          <w:rFonts w:ascii="Cordia New" w:hAnsi="Cordia New" w:cs="Cordia New"/>
          <w:sz w:val="32"/>
          <w:szCs w:val="32"/>
          <w:cs/>
        </w:rPr>
        <w:t>ค่าธรรมเนียมการโอนกรรมสิทธิ์จา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กร้อยละ </w:t>
      </w:r>
      <w:r w:rsidRPr="00416588">
        <w:rPr>
          <w:rFonts w:ascii="Cordia New" w:hAnsi="Cordia New" w:cs="Cordia New" w:hint="cs"/>
          <w:sz w:val="32"/>
          <w:szCs w:val="32"/>
        </w:rPr>
        <w:t>2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 เหลือ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416588">
        <w:rPr>
          <w:rFonts w:ascii="Cordia New" w:hAnsi="Cordia New" w:cs="Cordia New" w:hint="cs"/>
          <w:sz w:val="32"/>
          <w:szCs w:val="32"/>
        </w:rPr>
        <w:t>1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ซึ่งเคยลดให้ถึงร้อยละ </w:t>
      </w:r>
      <w:r w:rsidRPr="00416588">
        <w:rPr>
          <w:rFonts w:ascii="Cordia New" w:hAnsi="Cordia New" w:cs="Cordia New" w:hint="cs"/>
          <w:sz w:val="32"/>
          <w:szCs w:val="32"/>
        </w:rPr>
        <w:t>0.01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ในช่วงปี </w:t>
      </w:r>
      <w:r w:rsidRPr="00416588">
        <w:rPr>
          <w:rFonts w:ascii="Cordia New" w:hAnsi="Cordia New" w:cs="Cordia New" w:hint="cs"/>
          <w:sz w:val="32"/>
          <w:szCs w:val="32"/>
        </w:rPr>
        <w:t xml:space="preserve">2563 - 2564 </w:t>
      </w:r>
    </w:p>
    <w:p w14:paraId="68BE1146" w14:textId="714B9C40" w:rsidR="00ED16A2" w:rsidRPr="00F036E0" w:rsidRDefault="00ED16A2" w:rsidP="00ED16A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B344A7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B344A7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B344A7">
        <w:rPr>
          <w:rFonts w:ascii="Cordia New" w:hAnsi="Cordia New" w:cs="Cordia New"/>
          <w:sz w:val="32"/>
          <w:szCs w:val="32"/>
          <w:cs/>
        </w:rPr>
        <w:t>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1747E0">
        <w:rPr>
          <w:rFonts w:ascii="Cordia New" w:hAnsi="Cordia New" w:cs="Cordia New"/>
          <w:sz w:val="32"/>
          <w:szCs w:val="32"/>
        </w:rPr>
        <w:t xml:space="preserve">6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 w:rsidRPr="00416588">
        <w:rPr>
          <w:rFonts w:ascii="Cordia New" w:hAnsi="Cordia New" w:cs="Cordia New" w:hint="cs"/>
          <w:sz w:val="32"/>
          <w:szCs w:val="32"/>
        </w:rPr>
        <w:t>61.2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ลดลงเล็กน้อย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 w:rsidRPr="00FA4399">
        <w:rPr>
          <w:rFonts w:ascii="Cordia New" w:hAnsi="Cordia New" w:cs="Cordia New"/>
          <w:sz w:val="32"/>
          <w:szCs w:val="32"/>
        </w:rPr>
        <w:t>61.8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แสดงให้เห็นว่าผู้ประกอบการยังคงมีความเชื่อมั่น</w:t>
      </w:r>
      <w:r w:rsidRPr="00B344A7">
        <w:rPr>
          <w:rFonts w:ascii="Cordia New" w:hAnsi="Cordia New" w:cs="Cordia New"/>
          <w:sz w:val="32"/>
          <w:szCs w:val="32"/>
          <w:cs/>
        </w:rPr>
        <w:t>ต่อธุรกิจ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อสังหาริมทรัพย์ </w:t>
      </w:r>
      <w:r w:rsidR="00E91772">
        <w:rPr>
          <w:rFonts w:ascii="Cordia New" w:hAnsi="Cordia New" w:cs="Cordia New" w:hint="cs"/>
          <w:sz w:val="32"/>
          <w:szCs w:val="32"/>
          <w:cs/>
        </w:rPr>
        <w:t>แต่มีเพียง</w:t>
      </w:r>
      <w:r w:rsidRPr="00B344A7">
        <w:rPr>
          <w:rFonts w:ascii="Cordia New" w:hAnsi="Cordia New" w:cs="Cordia New" w:hint="cs"/>
          <w:sz w:val="32"/>
          <w:szCs w:val="32"/>
          <w:cs/>
        </w:rPr>
        <w:t>ด้านผลประกอบการ และ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ยอดขาย</w:t>
      </w:r>
      <w:r w:rsidR="00E9177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ที่น้อยกว่าไตรมาสก่อนหน้าอย่างมีนัยสำคัญ</w:t>
      </w:r>
    </w:p>
    <w:p w14:paraId="5EA98F5B" w14:textId="4B7C5B03" w:rsidR="00ED16A2" w:rsidRDefault="00ED16A2" w:rsidP="00E064E5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B344A7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B344A7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>
        <w:rPr>
          <w:rFonts w:ascii="Cordia New" w:hAnsi="Cordia New" w:cs="Cordia New"/>
          <w:sz w:val="32"/>
          <w:szCs w:val="32"/>
        </w:rPr>
        <w:t>5</w:t>
      </w:r>
      <w:r w:rsidRPr="00416588">
        <w:rPr>
          <w:rFonts w:ascii="Cordia New" w:hAnsi="Cordia New" w:cs="Cordia New" w:hint="cs"/>
          <w:sz w:val="32"/>
          <w:szCs w:val="32"/>
        </w:rPr>
        <w:t>9</w:t>
      </w:r>
      <w:r>
        <w:rPr>
          <w:rFonts w:ascii="Cordia New" w:hAnsi="Cordia New" w:cs="Cordia New"/>
          <w:sz w:val="32"/>
          <w:szCs w:val="32"/>
        </w:rPr>
        <w:t>.</w:t>
      </w:r>
      <w:r w:rsidRPr="00416588">
        <w:rPr>
          <w:rFonts w:ascii="Cordia New" w:hAnsi="Cordia New" w:cs="Cordia New" w:hint="cs"/>
          <w:sz w:val="32"/>
          <w:szCs w:val="32"/>
        </w:rPr>
        <w:t>3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B344A7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FA4399">
        <w:rPr>
          <w:rFonts w:ascii="Cordia New" w:hAnsi="Cordia New" w:cs="Cordia New"/>
          <w:sz w:val="32"/>
          <w:szCs w:val="32"/>
        </w:rPr>
        <w:t>52.1</w:t>
      </w:r>
      <w:r w:rsidRPr="00E064E5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E064E5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แสดงให้เห็นว่าผู้ประกอบการกลุ่ม </w:t>
      </w:r>
      <w:r w:rsidRPr="00E064E5">
        <w:rPr>
          <w:rFonts w:ascii="Cordia New" w:hAnsi="Cordia New" w:cs="Cordia New"/>
          <w:spacing w:val="-6"/>
          <w:sz w:val="32"/>
          <w:szCs w:val="32"/>
        </w:rPr>
        <w:t xml:space="preserve">Non-listed Companies </w:t>
      </w:r>
      <w:r w:rsidRPr="00E064E5">
        <w:rPr>
          <w:rFonts w:ascii="Cordia New" w:hAnsi="Cordia New" w:cs="Cordia New" w:hint="cs"/>
          <w:spacing w:val="-6"/>
          <w:sz w:val="32"/>
          <w:szCs w:val="32"/>
          <w:cs/>
        </w:rPr>
        <w:t xml:space="preserve">เริ่มมีความเชื่อมั่นความเพิ่มขึ้นจากปัจจัยบวกต่าง ๆ </w:t>
      </w:r>
      <w:r w:rsidRPr="00B344A7">
        <w:rPr>
          <w:rFonts w:ascii="Cordia New" w:hAnsi="Cordia New" w:cs="Cordia New" w:hint="cs"/>
          <w:sz w:val="32"/>
          <w:szCs w:val="32"/>
          <w:cs/>
        </w:rPr>
        <w:t>ดังกล่าว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B344A7">
        <w:rPr>
          <w:rFonts w:ascii="Cordia New" w:hAnsi="Cordia New" w:cs="Cordia New" w:hint="cs"/>
          <w:sz w:val="32"/>
          <w:szCs w:val="32"/>
          <w:cs/>
        </w:rPr>
        <w:t>โดยเฉพาะความเชื่อมั่นในด้านผลประกอบการ ยอดขาย การลงทุน การเปิดโครงการใหม่และ/หรือ</w:t>
      </w:r>
      <w:proofErr w:type="spellStart"/>
      <w:r w:rsidRPr="00B344A7">
        <w:rPr>
          <w:rFonts w:ascii="Cordia New" w:hAnsi="Cordia New" w:cs="Cordia New" w:hint="cs"/>
          <w:sz w:val="32"/>
          <w:szCs w:val="32"/>
          <w:cs/>
        </w:rPr>
        <w:t>เฟส</w:t>
      </w:r>
      <w:proofErr w:type="spellEnd"/>
      <w:r w:rsidRPr="00B344A7">
        <w:rPr>
          <w:rFonts w:ascii="Cordia New" w:hAnsi="Cordia New" w:cs="Cordia New" w:hint="cs"/>
          <w:sz w:val="32"/>
          <w:szCs w:val="32"/>
          <w:cs/>
        </w:rPr>
        <w:t xml:space="preserve">ใหม่ </w:t>
      </w:r>
      <w:r w:rsidRPr="001747E0">
        <w:rPr>
          <w:rFonts w:ascii="Cordia New" w:hAnsi="Cordia New" w:cs="Cordia New"/>
          <w:sz w:val="32"/>
          <w:szCs w:val="32"/>
        </w:rPr>
        <w:t>(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B344A7">
        <w:rPr>
          <w:rFonts w:ascii="Cordia New" w:hAnsi="Cordia New" w:cs="Cordia New"/>
          <w:sz w:val="32"/>
          <w:szCs w:val="32"/>
          <w:cs/>
        </w:rPr>
        <w:t>และ</w:t>
      </w:r>
      <w:r w:rsidRPr="00B344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344A7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4F44E374" w14:textId="3E51528D" w:rsidR="006F0053" w:rsidRDefault="006F0053" w:rsidP="00E37DED">
      <w:pPr>
        <w:pStyle w:val="ae"/>
        <w:jc w:val="thaiDistribute"/>
        <w:rPr>
          <w:rFonts w:ascii="Cordia New" w:hAnsi="Cordia New" w:cs="Cordia New"/>
          <w:sz w:val="28"/>
        </w:rPr>
      </w:pPr>
    </w:p>
    <w:p w14:paraId="50D8ADFC" w14:textId="77777777" w:rsidR="00E37DED" w:rsidRPr="00FD334B" w:rsidRDefault="00E37DED" w:rsidP="00E37DED">
      <w:pPr>
        <w:pStyle w:val="ae"/>
        <w:jc w:val="thaiDistribute"/>
        <w:rPr>
          <w:rFonts w:ascii="Cordia New" w:hAnsi="Cordia New" w:cs="Cordia New"/>
          <w:sz w:val="14"/>
          <w:szCs w:val="14"/>
        </w:rPr>
      </w:pPr>
    </w:p>
    <w:p w14:paraId="20D6ADBD" w14:textId="77777777" w:rsidR="006F0053" w:rsidRDefault="006F0053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254FB447" wp14:editId="7DC3BCC4">
            <wp:extent cx="5502303" cy="169520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91"/>
                    <a:stretch/>
                  </pic:blipFill>
                  <pic:spPr bwMode="auto">
                    <a:xfrm>
                      <a:off x="0" y="0"/>
                      <a:ext cx="5525418" cy="17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3E1E8" w14:textId="3401CBC5" w:rsidR="006F0053" w:rsidRDefault="006F0053" w:rsidP="006F0053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43F30A2D" w14:textId="77777777" w:rsidR="00E91772" w:rsidRPr="00E527C8" w:rsidRDefault="00E91772" w:rsidP="006F0053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698E6E99" w14:textId="58EA906D" w:rsidR="006F0053" w:rsidRDefault="00BC4F9B" w:rsidP="006F0053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835E450" w14:textId="77777777" w:rsidR="006F0053" w:rsidRPr="00B344A7" w:rsidRDefault="006F0053" w:rsidP="00BC4F9B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7F4501">
        <w:rPr>
          <w:noProof/>
        </w:rPr>
        <w:drawing>
          <wp:inline distT="0" distB="0" distL="0" distR="0" wp14:anchorId="592D9527" wp14:editId="44BFCD03">
            <wp:extent cx="5829300" cy="1774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86C9" w14:textId="779760B5" w:rsidR="006F0053" w:rsidRPr="000D043D" w:rsidRDefault="00BC4F9B" w:rsidP="006F0053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6F0053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533AFEE" w14:textId="29ED899A" w:rsidR="006F0053" w:rsidRDefault="006F0053" w:rsidP="006F0053">
      <w:pPr>
        <w:pStyle w:val="ae"/>
        <w:rPr>
          <w:rFonts w:ascii="Cordia New" w:hAnsi="Cordia New" w:cs="Cordia New"/>
          <w:b/>
          <w:bCs/>
          <w:szCs w:val="22"/>
        </w:rPr>
      </w:pPr>
    </w:p>
    <w:p w14:paraId="1E79A465" w14:textId="48ACA539" w:rsidR="00E527C8" w:rsidRDefault="00E527C8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24B558C" w14:textId="77777777" w:rsidR="00E37DED" w:rsidRDefault="00E37DED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AF0E7F2" w14:textId="61A8BC08" w:rsidR="006F0053" w:rsidRDefault="00E91772" w:rsidP="00B13B77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br w:type="page"/>
      </w:r>
      <w:r w:rsidR="000A5FD9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      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76FF0860" w14:textId="77777777" w:rsidR="006F0053" w:rsidRPr="00C769C8" w:rsidRDefault="006F0053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F4DF1">
        <w:rPr>
          <w:noProof/>
        </w:rPr>
        <w:drawing>
          <wp:inline distT="0" distB="0" distL="0" distR="0" wp14:anchorId="0D28CFBF" wp14:editId="7712E4FA">
            <wp:extent cx="5759890" cy="260252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33" cy="26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466F" w14:textId="171EA4A7" w:rsidR="006F0053" w:rsidRPr="000D043D" w:rsidRDefault="006F0053" w:rsidP="006F0053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B344A7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B0020A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B344A7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B344A7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327D808" w14:textId="77777777" w:rsidR="006F0053" w:rsidRPr="00B344A7" w:rsidRDefault="006F0053" w:rsidP="006F0053">
      <w:pPr>
        <w:pStyle w:val="ae"/>
        <w:jc w:val="thaiDistribute"/>
        <w:rPr>
          <w:rFonts w:ascii="Cordia New" w:hAnsi="Cordia New" w:cs="Cordia New"/>
          <w:szCs w:val="22"/>
          <w:cs/>
        </w:rPr>
      </w:pPr>
    </w:p>
    <w:p w14:paraId="5F2F60F8" w14:textId="4E7F7521" w:rsidR="006F0053" w:rsidRDefault="00B0020A" w:rsidP="006F0053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37A7E189" w14:textId="77777777" w:rsidR="006F0053" w:rsidRDefault="006F0053" w:rsidP="00B0020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F4501">
        <w:rPr>
          <w:noProof/>
        </w:rPr>
        <w:drawing>
          <wp:inline distT="0" distB="0" distL="0" distR="0" wp14:anchorId="0592DA6C" wp14:editId="6A194866">
            <wp:extent cx="5829300" cy="1647930"/>
            <wp:effectExtent l="0" t="0" r="0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67" cy="164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1DA3" w14:textId="07D04F58" w:rsidR="006F0053" w:rsidRDefault="00B0020A" w:rsidP="006F0053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6F0053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C8BBEA6" w14:textId="77777777" w:rsidR="00E527C8" w:rsidRPr="00B0020A" w:rsidRDefault="00E527C8" w:rsidP="006F0053">
      <w:pPr>
        <w:pStyle w:val="ae"/>
        <w:rPr>
          <w:rFonts w:ascii="Cordia New" w:hAnsi="Cordia New" w:cs="Cordia New"/>
          <w:b/>
          <w:bCs/>
          <w:sz w:val="20"/>
          <w:szCs w:val="20"/>
        </w:rPr>
      </w:pPr>
    </w:p>
    <w:p w14:paraId="3EFA60C8" w14:textId="0C30386C" w:rsidR="006F0053" w:rsidRDefault="00A14DD6" w:rsidP="00A14DD6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6F0053"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="006F0053" w:rsidRPr="00B344A7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="006F0053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265FA203" w14:textId="77777777" w:rsidR="006F0053" w:rsidRDefault="006F0053" w:rsidP="006F0053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85A80">
        <w:rPr>
          <w:noProof/>
        </w:rPr>
        <w:drawing>
          <wp:inline distT="0" distB="0" distL="0" distR="0" wp14:anchorId="2F4EDD58" wp14:editId="2FED82CA">
            <wp:extent cx="5829300" cy="25372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62" cy="253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2043" w14:textId="6270651B" w:rsidR="006F0053" w:rsidRDefault="00B0020A" w:rsidP="006F0053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6F0053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6F0053" w:rsidRPr="00B344A7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613787B" w14:textId="77777777" w:rsidR="00E91772" w:rsidRDefault="00E91772">
      <w:pPr>
        <w:spacing w:after="0" w:line="240" w:lineRule="auto"/>
        <w:rPr>
          <w:rFonts w:ascii="Cordia New" w:hAnsi="Cordia New" w:cs="Cordia New"/>
          <w:b/>
          <w:bCs/>
          <w:sz w:val="28"/>
          <w:u w:val="single"/>
          <w:cs/>
        </w:rPr>
      </w:pPr>
      <w:r>
        <w:rPr>
          <w:rFonts w:ascii="Cordia New" w:hAnsi="Cordia New" w:cs="Cordia New"/>
          <w:b/>
          <w:bCs/>
          <w:sz w:val="28"/>
          <w:u w:val="single"/>
          <w:cs/>
        </w:rPr>
        <w:br w:type="page"/>
      </w:r>
    </w:p>
    <w:p w14:paraId="00FD75A6" w14:textId="2AE74A20" w:rsidR="006F0053" w:rsidRPr="00E527C8" w:rsidRDefault="006F0053" w:rsidP="006F0053">
      <w:pPr>
        <w:pStyle w:val="ae"/>
        <w:rPr>
          <w:rFonts w:ascii="Cordia New" w:hAnsi="Cordia New" w:cs="Cordia New"/>
          <w:b/>
          <w:bCs/>
          <w:sz w:val="28"/>
          <w:u w:val="single"/>
          <w:cs/>
        </w:rPr>
      </w:pPr>
      <w:r w:rsidRPr="00E527C8">
        <w:rPr>
          <w:rFonts w:ascii="Cordia New" w:hAnsi="Cordia New" w:cs="Cordia New"/>
          <w:b/>
          <w:bCs/>
          <w:sz w:val="28"/>
          <w:u w:val="single"/>
          <w:cs/>
        </w:rPr>
        <w:lastRenderedPageBreak/>
        <w:t>วิธีการจัดทำข้อมูล</w:t>
      </w:r>
    </w:p>
    <w:p w14:paraId="1697037A" w14:textId="77777777" w:rsidR="006F0053" w:rsidRPr="00E527C8" w:rsidRDefault="006F0053" w:rsidP="006F0053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E527C8">
        <w:rPr>
          <w:rFonts w:ascii="Cordia New" w:hAnsi="Cordia New" w:cs="Cordia New"/>
          <w:sz w:val="28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E527C8">
        <w:rPr>
          <w:rFonts w:ascii="Cordia New" w:hAnsi="Cordia New" w:cs="Cordia New"/>
          <w:sz w:val="28"/>
        </w:rPr>
        <w:t>“</w:t>
      </w:r>
      <w:r w:rsidRPr="00E527C8">
        <w:rPr>
          <w:rFonts w:ascii="Cordia New" w:hAnsi="Cordia New" w:cs="Cordia New"/>
          <w:sz w:val="28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E527C8">
        <w:rPr>
          <w:rFonts w:ascii="Cordia New" w:hAnsi="Cordia New" w:cs="Cordia New"/>
          <w:sz w:val="28"/>
        </w:rPr>
        <w:t xml:space="preserve">” </w:t>
      </w:r>
      <w:r w:rsidRPr="00E527C8">
        <w:rPr>
          <w:rFonts w:ascii="Cordia New" w:hAnsi="Cordia New" w:cs="Cordia New"/>
          <w:sz w:val="28"/>
          <w:cs/>
        </w:rPr>
        <w:t xml:space="preserve">เป็นรายไตรมาส โดยเริ่มจัดทำมาตั้งแต่ไตรมาส </w:t>
      </w:r>
      <w:r w:rsidRPr="00E527C8">
        <w:rPr>
          <w:rFonts w:ascii="Cordia New" w:hAnsi="Cordia New" w:cs="Cordia New"/>
          <w:sz w:val="28"/>
        </w:rPr>
        <w:t xml:space="preserve">4 </w:t>
      </w:r>
      <w:r w:rsidRPr="00E527C8">
        <w:rPr>
          <w:rFonts w:ascii="Cordia New" w:hAnsi="Cordia New" w:cs="Cordia New"/>
          <w:sz w:val="28"/>
          <w:cs/>
        </w:rPr>
        <w:t xml:space="preserve">ปี </w:t>
      </w:r>
      <w:r w:rsidRPr="00E527C8">
        <w:rPr>
          <w:rFonts w:ascii="Cordia New" w:hAnsi="Cordia New" w:cs="Cordia New"/>
          <w:sz w:val="28"/>
        </w:rPr>
        <w:t xml:space="preserve">2550 </w:t>
      </w:r>
    </w:p>
    <w:p w14:paraId="3A6D0C34" w14:textId="77777777" w:rsidR="006F0053" w:rsidRPr="00E527C8" w:rsidRDefault="006F0053" w:rsidP="006F0053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E527C8">
        <w:rPr>
          <w:rFonts w:ascii="Cordia New" w:hAnsi="Cordia New" w:cs="Cordia New"/>
          <w:sz w:val="28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E527C8">
        <w:rPr>
          <w:rFonts w:ascii="Cordia New" w:hAnsi="Cordia New" w:cs="Cordia New"/>
          <w:sz w:val="28"/>
        </w:rPr>
        <w:t xml:space="preserve">Current Situation Index) </w:t>
      </w:r>
      <w:r w:rsidRPr="00E527C8">
        <w:rPr>
          <w:rFonts w:ascii="Cordia New" w:hAnsi="Cordia New" w:cs="Cordia New"/>
          <w:sz w:val="28"/>
          <w:cs/>
        </w:rPr>
        <w:t xml:space="preserve">และดัชนีความเชื่อมั่นในอีก </w:t>
      </w:r>
      <w:r w:rsidRPr="00E527C8">
        <w:rPr>
          <w:rFonts w:ascii="Cordia New" w:hAnsi="Cordia New" w:cs="Cordia New"/>
          <w:sz w:val="28"/>
        </w:rPr>
        <w:t xml:space="preserve">6 </w:t>
      </w:r>
      <w:r w:rsidRPr="00E527C8">
        <w:rPr>
          <w:rFonts w:ascii="Cordia New" w:hAnsi="Cordia New" w:cs="Cordia New"/>
          <w:sz w:val="28"/>
          <w:cs/>
        </w:rPr>
        <w:t>เดือนข้างหน้า (</w:t>
      </w:r>
      <w:r w:rsidRPr="00E527C8">
        <w:rPr>
          <w:rFonts w:ascii="Cordia New" w:hAnsi="Cordia New" w:cs="Cordia New"/>
          <w:sz w:val="28"/>
        </w:rPr>
        <w:t xml:space="preserve">Expectation Index) </w:t>
      </w:r>
      <w:r w:rsidRPr="00E527C8">
        <w:rPr>
          <w:rFonts w:ascii="Cordia New" w:hAnsi="Cordia New" w:cs="Cordia New"/>
          <w:sz w:val="28"/>
          <w:cs/>
        </w:rPr>
        <w:t xml:space="preserve">ซึ่งทั้งสองดัชนี จะมีข้อคำถาม </w:t>
      </w:r>
      <w:r w:rsidRPr="00E527C8">
        <w:rPr>
          <w:rFonts w:ascii="Cordia New" w:hAnsi="Cordia New" w:cs="Cordia New"/>
          <w:sz w:val="28"/>
        </w:rPr>
        <w:t xml:space="preserve">6 </w:t>
      </w:r>
      <w:r w:rsidRPr="00E527C8">
        <w:rPr>
          <w:rFonts w:ascii="Cordia New" w:hAnsi="Cordia New" w:cs="Cordia New"/>
          <w:sz w:val="28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047A04AB" w14:textId="77777777" w:rsidR="006F0053" w:rsidRPr="00E527C8" w:rsidRDefault="006F0053" w:rsidP="006F0053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E527C8">
        <w:rPr>
          <w:rFonts w:ascii="Cordia New" w:hAnsi="Cordia New" w:cs="Cordia New"/>
          <w:sz w:val="28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E527C8">
        <w:rPr>
          <w:rFonts w:ascii="Cordia New" w:hAnsi="Cordia New" w:cs="Cordia New"/>
          <w:kern w:val="24"/>
          <w:sz w:val="28"/>
        </w:rPr>
        <w:t xml:space="preserve">Listed </w:t>
      </w:r>
      <w:r w:rsidRPr="00E527C8">
        <w:rPr>
          <w:rFonts w:ascii="Cordia New" w:hAnsi="Cordia New" w:cs="Cordia New"/>
          <w:spacing w:val="-6"/>
          <w:kern w:val="24"/>
          <w:sz w:val="28"/>
        </w:rPr>
        <w:t>Companies</w:t>
      </w:r>
      <w:r w:rsidRPr="00E527C8">
        <w:rPr>
          <w:rFonts w:ascii="Cordia New" w:hAnsi="Cordia New" w:cs="Cordia New"/>
          <w:spacing w:val="-6"/>
          <w:sz w:val="28"/>
        </w:rPr>
        <w:t xml:space="preserve">) </w:t>
      </w:r>
      <w:r w:rsidRPr="00E527C8">
        <w:rPr>
          <w:rFonts w:ascii="Cordia New" w:hAnsi="Cordia New" w:cs="Cordia New"/>
          <w:spacing w:val="-6"/>
          <w:sz w:val="28"/>
          <w:cs/>
        </w:rPr>
        <w:t>มากกว่า บริษัทที่ไม่จดทะเบียนในตลาดหลักทรัพย์ฯ (</w:t>
      </w:r>
      <w:r w:rsidRPr="00E527C8">
        <w:rPr>
          <w:rFonts w:ascii="Cordia New" w:hAnsi="Cordia New" w:cs="Cordia New"/>
          <w:spacing w:val="-6"/>
          <w:position w:val="2"/>
          <w:sz w:val="28"/>
        </w:rPr>
        <w:t>Non-</w:t>
      </w:r>
      <w:r w:rsidRPr="00E527C8">
        <w:rPr>
          <w:rFonts w:ascii="Cordia New" w:hAnsi="Cordia New" w:cs="Cordia New"/>
          <w:spacing w:val="-6"/>
          <w:kern w:val="24"/>
          <w:position w:val="2"/>
          <w:sz w:val="28"/>
        </w:rPr>
        <w:t>listed Companies</w:t>
      </w:r>
      <w:r w:rsidRPr="00E527C8">
        <w:rPr>
          <w:rFonts w:ascii="Cordia New" w:hAnsi="Cordia New" w:cs="Cordia New"/>
          <w:spacing w:val="-6"/>
          <w:sz w:val="28"/>
        </w:rPr>
        <w:t xml:space="preserve">) </w:t>
      </w:r>
      <w:r w:rsidRPr="00E527C8">
        <w:rPr>
          <w:rFonts w:ascii="Cordia New" w:hAnsi="Cordia New" w:cs="Cordia New"/>
          <w:spacing w:val="-6"/>
          <w:sz w:val="28"/>
          <w:cs/>
        </w:rPr>
        <w:t>ในสัดส่วน</w:t>
      </w:r>
      <w:bookmarkStart w:id="3" w:name="_Hlk68263632"/>
      <w:r w:rsidRPr="00E527C8">
        <w:rPr>
          <w:rFonts w:ascii="Cordia New" w:hAnsi="Cordia New" w:cs="Cordia New"/>
          <w:spacing w:val="-6"/>
          <w:sz w:val="28"/>
        </w:rPr>
        <w:t xml:space="preserve"> 60 : </w:t>
      </w:r>
      <w:bookmarkEnd w:id="3"/>
      <w:r w:rsidRPr="00E527C8">
        <w:rPr>
          <w:rFonts w:ascii="Cordia New" w:hAnsi="Cordia New" w:cs="Cordia New"/>
          <w:spacing w:val="-6"/>
          <w:sz w:val="28"/>
        </w:rPr>
        <w:t>40</w:t>
      </w:r>
      <w:r w:rsidRPr="00E527C8">
        <w:rPr>
          <w:rFonts w:ascii="Cordia New" w:hAnsi="Cordia New" w:cs="Cordia New"/>
          <w:sz w:val="28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E527C8">
        <w:rPr>
          <w:rFonts w:ascii="Cordia New" w:hAnsi="Cordia New" w:cs="Cordia New"/>
          <w:sz w:val="28"/>
        </w:rPr>
        <w:t xml:space="preserve">– </w:t>
      </w:r>
      <w:r w:rsidRPr="00E527C8">
        <w:rPr>
          <w:rFonts w:ascii="Cordia New" w:hAnsi="Cordia New" w:cs="Cordia New"/>
          <w:sz w:val="28"/>
          <w:cs/>
        </w:rPr>
        <w:t xml:space="preserve">ปริมณฑลปัจจุบันส่วนใหญ่เกินกว่าร้อยละ </w:t>
      </w:r>
      <w:bookmarkStart w:id="4" w:name="_Hlk68263734"/>
      <w:r w:rsidRPr="00E527C8">
        <w:rPr>
          <w:rFonts w:ascii="Cordia New" w:hAnsi="Cordia New" w:cs="Cordia New"/>
          <w:sz w:val="28"/>
        </w:rPr>
        <w:t>60</w:t>
      </w:r>
      <w:bookmarkEnd w:id="4"/>
      <w:r w:rsidRPr="00E527C8">
        <w:rPr>
          <w:rFonts w:ascii="Cordia New" w:hAnsi="Cordia New" w:cs="Cordia New"/>
          <w:sz w:val="28"/>
        </w:rPr>
        <w:t xml:space="preserve"> </w:t>
      </w:r>
      <w:r w:rsidRPr="00E527C8">
        <w:rPr>
          <w:rFonts w:ascii="Cordia New" w:hAnsi="Cordia New" w:cs="Cordia New"/>
          <w:sz w:val="28"/>
          <w:cs/>
        </w:rPr>
        <w:t>เป็นโครงการของ บริษัทจดทะเบียนในตลาดหลักทรัพย์ฯ (</w:t>
      </w:r>
      <w:r w:rsidRPr="00E527C8">
        <w:rPr>
          <w:rFonts w:ascii="Cordia New" w:hAnsi="Cordia New" w:cs="Cordia New"/>
          <w:kern w:val="24"/>
          <w:sz w:val="28"/>
        </w:rPr>
        <w:t>Listed Companies</w:t>
      </w:r>
      <w:r w:rsidRPr="00E527C8">
        <w:rPr>
          <w:rFonts w:ascii="Cordia New" w:hAnsi="Cordia New" w:cs="Cordia New"/>
          <w:sz w:val="28"/>
        </w:rPr>
        <w:t xml:space="preserve">) </w:t>
      </w:r>
      <w:r w:rsidRPr="00E527C8">
        <w:rPr>
          <w:rFonts w:ascii="Cordia New" w:hAnsi="Cordia New" w:cs="Cordia New"/>
          <w:sz w:val="28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E527C8">
        <w:rPr>
          <w:rFonts w:ascii="Cordia New" w:hAnsi="Cordia New" w:cs="Cordia New"/>
          <w:sz w:val="28"/>
        </w:rPr>
        <w:t>5</w:t>
      </w:r>
      <w:r w:rsidRPr="00E527C8">
        <w:rPr>
          <w:rFonts w:ascii="Cordia New" w:hAnsi="Cordia New" w:cs="Cordia New"/>
          <w:sz w:val="28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5811C0C7" w14:textId="77777777" w:rsidR="006F0053" w:rsidRPr="00E527C8" w:rsidRDefault="006F0053" w:rsidP="006F0053">
      <w:pPr>
        <w:pStyle w:val="ae"/>
        <w:jc w:val="thaiDistribute"/>
        <w:rPr>
          <w:rFonts w:ascii="Cordia New" w:hAnsi="Cordia New" w:cs="Cordia New"/>
          <w:sz w:val="24"/>
          <w:szCs w:val="24"/>
        </w:rPr>
      </w:pPr>
    </w:p>
    <w:p w14:paraId="3C1D7606" w14:textId="77777777" w:rsidR="006F0053" w:rsidRPr="00E527C8" w:rsidRDefault="006F0053" w:rsidP="006F0053">
      <w:pPr>
        <w:pStyle w:val="ae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E527C8">
        <w:rPr>
          <w:rFonts w:ascii="Cordia New" w:hAnsi="Cordia New" w:cs="Cordia New"/>
          <w:b/>
          <w:bCs/>
          <w:sz w:val="28"/>
          <w:u w:val="single"/>
          <w:cs/>
        </w:rPr>
        <w:t>การแปลความหมาย</w:t>
      </w:r>
    </w:p>
    <w:p w14:paraId="15D88822" w14:textId="687173C2" w:rsidR="006F0053" w:rsidRPr="00E527C8" w:rsidRDefault="006F0053" w:rsidP="00E527C8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E527C8">
        <w:rPr>
          <w:rFonts w:ascii="Cordia New" w:hAnsi="Cordia New" w:cs="Cordia New"/>
          <w:sz w:val="28"/>
          <w:cs/>
        </w:rPr>
        <w:t xml:space="preserve">ค่ากลางของดัชนีเท่ากับ </w:t>
      </w:r>
      <w:r w:rsidRPr="00E527C8">
        <w:rPr>
          <w:rFonts w:ascii="Cordia New" w:hAnsi="Cordia New" w:cs="Cordia New"/>
          <w:sz w:val="28"/>
        </w:rPr>
        <w:t xml:space="preserve">50.0 </w:t>
      </w:r>
      <w:r w:rsidRPr="00E527C8">
        <w:rPr>
          <w:rFonts w:ascii="Cordia New" w:hAnsi="Cordia New" w:cs="Cordia New"/>
          <w:sz w:val="28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4EFBC008" w14:textId="6372CC0A" w:rsidR="006F0053" w:rsidRPr="00E527C8" w:rsidRDefault="006F0053" w:rsidP="00E527C8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2B02CF98" w14:textId="77777777" w:rsidR="006F0053" w:rsidRPr="003E4C36" w:rsidRDefault="006F0053" w:rsidP="006F0053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25E2C825" w14:textId="77777777" w:rsidR="006F0053" w:rsidRPr="003E4C36" w:rsidRDefault="006F0053" w:rsidP="006F0053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B344A7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082509B0" w14:textId="77777777" w:rsidR="006F0053" w:rsidRPr="003E4C36" w:rsidRDefault="006F0053" w:rsidP="006F0053">
      <w:pPr>
        <w:pStyle w:val="ae"/>
        <w:jc w:val="center"/>
        <w:rPr>
          <w:rFonts w:ascii="Cordia New" w:hAnsi="Cordia New" w:cs="Cordia New"/>
          <w:sz w:val="20"/>
          <w:szCs w:val="20"/>
        </w:rPr>
      </w:pPr>
      <w:r w:rsidRPr="00B344A7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20752E2C" w14:textId="4E65FB98" w:rsidR="00164BE1" w:rsidRPr="00E527C8" w:rsidRDefault="00164BE1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164BE1" w:rsidRPr="00E527C8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A575" w14:textId="77777777" w:rsidR="00527003" w:rsidRDefault="00527003">
      <w:pPr>
        <w:spacing w:after="0" w:line="240" w:lineRule="auto"/>
      </w:pPr>
      <w:r>
        <w:separator/>
      </w:r>
    </w:p>
  </w:endnote>
  <w:endnote w:type="continuationSeparator" w:id="0">
    <w:p w14:paraId="200E6D27" w14:textId="77777777" w:rsidR="00527003" w:rsidRDefault="0052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085F" w14:textId="77777777" w:rsidR="00527003" w:rsidRDefault="00527003">
      <w:pPr>
        <w:spacing w:after="0" w:line="240" w:lineRule="auto"/>
      </w:pPr>
      <w:r>
        <w:separator/>
      </w:r>
    </w:p>
  </w:footnote>
  <w:footnote w:type="continuationSeparator" w:id="0">
    <w:p w14:paraId="6D805312" w14:textId="77777777" w:rsidR="00527003" w:rsidRDefault="0052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8393">
    <w:abstractNumId w:val="5"/>
  </w:num>
  <w:num w:numId="2" w16cid:durableId="1118529872">
    <w:abstractNumId w:val="1"/>
  </w:num>
  <w:num w:numId="3" w16cid:durableId="888802703">
    <w:abstractNumId w:val="0"/>
  </w:num>
  <w:num w:numId="4" w16cid:durableId="1112170778">
    <w:abstractNumId w:val="3"/>
  </w:num>
  <w:num w:numId="5" w16cid:durableId="1366058822">
    <w:abstractNumId w:val="4"/>
  </w:num>
  <w:num w:numId="6" w16cid:durableId="631638095">
    <w:abstractNumId w:val="2"/>
  </w:num>
  <w:num w:numId="7" w16cid:durableId="351687702">
    <w:abstractNumId w:val="7"/>
  </w:num>
  <w:num w:numId="8" w16cid:durableId="2048798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3FB"/>
    <w:rsid w:val="000948BB"/>
    <w:rsid w:val="000A51EB"/>
    <w:rsid w:val="000A5FD9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222C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0739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2597"/>
    <w:rsid w:val="0023482D"/>
    <w:rsid w:val="002349CE"/>
    <w:rsid w:val="00234F2E"/>
    <w:rsid w:val="002350C4"/>
    <w:rsid w:val="002353DB"/>
    <w:rsid w:val="00241B76"/>
    <w:rsid w:val="0024464A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715"/>
    <w:rsid w:val="0037042D"/>
    <w:rsid w:val="0037338D"/>
    <w:rsid w:val="00374352"/>
    <w:rsid w:val="00375CEE"/>
    <w:rsid w:val="00377856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27003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74A4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9153A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0053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0ADF"/>
    <w:rsid w:val="007615D6"/>
    <w:rsid w:val="00762EEF"/>
    <w:rsid w:val="00765E38"/>
    <w:rsid w:val="00770946"/>
    <w:rsid w:val="0077175F"/>
    <w:rsid w:val="00773981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4785"/>
    <w:rsid w:val="007F5D47"/>
    <w:rsid w:val="007F7979"/>
    <w:rsid w:val="008029FB"/>
    <w:rsid w:val="00803A29"/>
    <w:rsid w:val="008044EC"/>
    <w:rsid w:val="0080728A"/>
    <w:rsid w:val="00807F77"/>
    <w:rsid w:val="008160BB"/>
    <w:rsid w:val="00816CFD"/>
    <w:rsid w:val="008242E1"/>
    <w:rsid w:val="0082587C"/>
    <w:rsid w:val="00825EB2"/>
    <w:rsid w:val="00833AB4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D2454"/>
    <w:rsid w:val="008D6BD6"/>
    <w:rsid w:val="008E0634"/>
    <w:rsid w:val="008E3EA7"/>
    <w:rsid w:val="008E5B13"/>
    <w:rsid w:val="008F7EFE"/>
    <w:rsid w:val="0090094E"/>
    <w:rsid w:val="00901301"/>
    <w:rsid w:val="009018E7"/>
    <w:rsid w:val="00901F18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7C47"/>
    <w:rsid w:val="00961C61"/>
    <w:rsid w:val="00962E00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4DD6"/>
    <w:rsid w:val="00A16ED9"/>
    <w:rsid w:val="00A236D4"/>
    <w:rsid w:val="00A23EAF"/>
    <w:rsid w:val="00A25F06"/>
    <w:rsid w:val="00A32663"/>
    <w:rsid w:val="00A343FC"/>
    <w:rsid w:val="00A34620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D24CA"/>
    <w:rsid w:val="00AD394B"/>
    <w:rsid w:val="00AD6CF4"/>
    <w:rsid w:val="00AE2717"/>
    <w:rsid w:val="00AE62BD"/>
    <w:rsid w:val="00AF15CB"/>
    <w:rsid w:val="00AF651E"/>
    <w:rsid w:val="00AF6AD0"/>
    <w:rsid w:val="00B0020A"/>
    <w:rsid w:val="00B00F9B"/>
    <w:rsid w:val="00B0213F"/>
    <w:rsid w:val="00B0244A"/>
    <w:rsid w:val="00B07752"/>
    <w:rsid w:val="00B13B77"/>
    <w:rsid w:val="00B1558A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C4F9B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6CB8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6A0D"/>
    <w:rsid w:val="00CC2C2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39B8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37D3F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09E9"/>
    <w:rsid w:val="00DB4904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4E5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3C9F"/>
    <w:rsid w:val="00E36818"/>
    <w:rsid w:val="00E37DED"/>
    <w:rsid w:val="00E41E91"/>
    <w:rsid w:val="00E450B8"/>
    <w:rsid w:val="00E527C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1772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16A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A6EA3"/>
    <w:rsid w:val="00FB13FD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4F7"/>
    <w:rsid w:val="00FD7E0A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24</cp:revision>
  <cp:lastPrinted>2023-01-09T06:37:00Z</cp:lastPrinted>
  <dcterms:created xsi:type="dcterms:W3CDTF">2023-01-09T02:16:00Z</dcterms:created>
  <dcterms:modified xsi:type="dcterms:W3CDTF">2023-01-11T02:13:00Z</dcterms:modified>
</cp:coreProperties>
</file>