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036ED783" w:rsidR="00293DA0" w:rsidRPr="002B3211" w:rsidRDefault="00827DAB" w:rsidP="008058F3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4E4E6EB7" wp14:editId="48C57F16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00F9B3F5" w14:textId="77777777" w:rsidR="00827DAB" w:rsidRPr="00827DAB" w:rsidRDefault="00827DAB" w:rsidP="00827DAB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827DAB">
        <w:rPr>
          <w:rFonts w:ascii="Cordia New" w:hAnsi="Cordia New" w:cs="Cordia New"/>
          <w:sz w:val="28"/>
          <w:cs/>
        </w:rPr>
        <w:t xml:space="preserve">ในช่วงการระบาดของ </w:t>
      </w:r>
      <w:r w:rsidRPr="00827DAB">
        <w:rPr>
          <w:rFonts w:ascii="Cordia New" w:hAnsi="Cordia New" w:cs="Cordia New"/>
          <w:sz w:val="28"/>
        </w:rPr>
        <w:t>COVID-19</w:t>
      </w:r>
      <w:r w:rsidRPr="00827DAB">
        <w:rPr>
          <w:rFonts w:ascii="Cordia New" w:hAnsi="Cordia New" w:cs="Cordia New"/>
          <w:sz w:val="28"/>
          <w:cs/>
        </w:rPr>
        <w:t xml:space="preserve"> ธปท. ได้ปรับลดอัตรานำส่งเงิ</w:t>
      </w:r>
      <w:r w:rsidRPr="00827DAB">
        <w:rPr>
          <w:rFonts w:ascii="Cordia New" w:hAnsi="Cordia New" w:cs="Cordia New"/>
          <w:sz w:val="28"/>
          <w:cs/>
        </w:rPr>
        <w:t>น</w:t>
      </w:r>
      <w:r w:rsidRPr="00827DAB">
        <w:rPr>
          <w:rFonts w:ascii="Cordia New" w:hAnsi="Cordia New" w:cs="Cordia New"/>
          <w:sz w:val="28"/>
          <w:cs/>
        </w:rPr>
        <w:t>สมทบกองทุนฟื้นฟูฯ</w:t>
      </w:r>
      <w:r w:rsidRPr="00827DAB">
        <w:rPr>
          <w:rFonts w:ascii="Cordia New" w:hAnsi="Cordia New" w:cs="Cordia New"/>
          <w:sz w:val="28"/>
        </w:rPr>
        <w:t xml:space="preserve"> (FIDF</w:t>
      </w:r>
      <w:r w:rsidRPr="00827DAB">
        <w:rPr>
          <w:rFonts w:ascii="Cordia New" w:hAnsi="Cordia New" w:cs="Cordia New"/>
          <w:sz w:val="28"/>
          <w:cs/>
        </w:rPr>
        <w:t xml:space="preserve"> </w:t>
      </w:r>
      <w:r w:rsidRPr="00827DAB">
        <w:rPr>
          <w:rFonts w:ascii="Cordia New" w:hAnsi="Cordia New" w:cs="Cordia New"/>
          <w:sz w:val="28"/>
        </w:rPr>
        <w:t>fee)</w:t>
      </w:r>
      <w:r w:rsidRPr="00827DAB">
        <w:rPr>
          <w:rFonts w:ascii="Cordia New" w:hAnsi="Cordia New" w:cs="Cordia New"/>
          <w:sz w:val="28"/>
          <w:cs/>
        </w:rPr>
        <w:t xml:space="preserve"> จากธนาคารพาณิชย์ลงครึ่งหนึ่งเหลือ </w:t>
      </w:r>
      <w:r w:rsidRPr="00827DAB">
        <w:rPr>
          <w:rFonts w:ascii="Cordia New" w:hAnsi="Cordia New" w:cs="Cordia New"/>
          <w:sz w:val="28"/>
        </w:rPr>
        <w:t>0.23%</w:t>
      </w:r>
      <w:r w:rsidRPr="00827DAB">
        <w:rPr>
          <w:rFonts w:ascii="Cordia New" w:hAnsi="Cordia New" w:cs="Cordia New"/>
          <w:sz w:val="28"/>
          <w:cs/>
        </w:rPr>
        <w:t xml:space="preserve"> ต่อปี เป็นการชั่วคราว มีส่วนสำคัญที่ช่วยลดต้นทุนทางการเงินของระบบธนาคาร ซึ่งได้ส่งผ่านไปยังลูกหนี้ในวงกว้าง เนื่องจากอัตราดอกเบี้ยเงินกู้กลุ่ม </w:t>
      </w:r>
      <w:r w:rsidRPr="00827DAB">
        <w:rPr>
          <w:rFonts w:ascii="Cordia New" w:hAnsi="Cordia New" w:cs="Cordia New"/>
          <w:sz w:val="28"/>
        </w:rPr>
        <w:t>M-Rate</w:t>
      </w:r>
      <w:r w:rsidRPr="00827DAB">
        <w:rPr>
          <w:rFonts w:ascii="Cordia New" w:hAnsi="Cordia New" w:cs="Cordia New"/>
          <w:sz w:val="28"/>
          <w:cs/>
        </w:rPr>
        <w:t xml:space="preserve"> ทุกชนิดของธนาคารขนาดใหญ่ ลดลง </w:t>
      </w:r>
      <w:r w:rsidRPr="00827DAB">
        <w:rPr>
          <w:rFonts w:ascii="Cordia New" w:hAnsi="Cordia New" w:cs="Cordia New"/>
          <w:sz w:val="28"/>
        </w:rPr>
        <w:t xml:space="preserve">0.4% </w:t>
      </w:r>
      <w:r w:rsidRPr="00827DAB">
        <w:rPr>
          <w:rFonts w:ascii="Cordia New" w:hAnsi="Cordia New" w:cs="Cordia New"/>
          <w:sz w:val="28"/>
          <w:cs/>
        </w:rPr>
        <w:t>ในคราวเดียว</w:t>
      </w:r>
      <w:r w:rsidRPr="00827DAB">
        <w:rPr>
          <w:rFonts w:ascii="Cordia New" w:hAnsi="Cordia New" w:cs="Cordia New"/>
          <w:sz w:val="28"/>
        </w:rPr>
        <w:t xml:space="preserve"> </w:t>
      </w:r>
    </w:p>
    <w:p w14:paraId="0679766E" w14:textId="77777777" w:rsidR="00827DAB" w:rsidRPr="00827DAB" w:rsidRDefault="00827DAB" w:rsidP="00827DAB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827DAB">
        <w:rPr>
          <w:rFonts w:ascii="Cordia New" w:hAnsi="Cordia New" w:cs="Cordia New"/>
          <w:sz w:val="28"/>
          <w:cs/>
        </w:rPr>
        <w:t xml:space="preserve">เมื่อแนวโน้มเศรษฐกิจฟื้นตัวชัดเจนขึ้น และอัตราเงินเฟ้อที่สูงกว่ากรอบเป้าหมาย ธปท. จึงมองถึงความจำเป็นที่อัตราดอกเบี้ยในระบบจะต้องปรับตัวสูงขึ้น และมีแนวทางปรับขึ้น </w:t>
      </w:r>
      <w:r w:rsidRPr="00827DAB">
        <w:rPr>
          <w:rFonts w:ascii="Cordia New" w:hAnsi="Cordia New" w:cs="Cordia New"/>
          <w:sz w:val="28"/>
        </w:rPr>
        <w:t>FIDF</w:t>
      </w:r>
      <w:r w:rsidRPr="00827DAB">
        <w:rPr>
          <w:rFonts w:ascii="Cordia New" w:hAnsi="Cordia New" w:cs="Cordia New"/>
          <w:sz w:val="28"/>
          <w:cs/>
        </w:rPr>
        <w:t xml:space="preserve"> </w:t>
      </w:r>
      <w:r w:rsidRPr="00827DAB">
        <w:rPr>
          <w:rFonts w:ascii="Cordia New" w:hAnsi="Cordia New" w:cs="Cordia New"/>
          <w:sz w:val="28"/>
        </w:rPr>
        <w:t>fee</w:t>
      </w:r>
      <w:r w:rsidRPr="00827DAB">
        <w:rPr>
          <w:rFonts w:ascii="Cordia New" w:hAnsi="Cordia New" w:cs="Cordia New"/>
          <w:sz w:val="28"/>
          <w:cs/>
        </w:rPr>
        <w:t xml:space="preserve"> กลับไปสู่ระดับปกติที่ </w:t>
      </w:r>
      <w:r w:rsidRPr="00827DAB">
        <w:rPr>
          <w:rFonts w:ascii="Cordia New" w:hAnsi="Cordia New" w:cs="Cordia New"/>
          <w:sz w:val="28"/>
        </w:rPr>
        <w:t>0.46%</w:t>
      </w:r>
      <w:r w:rsidRPr="00827DAB">
        <w:rPr>
          <w:rFonts w:ascii="Cordia New" w:hAnsi="Cordia New" w:cs="Cordia New"/>
          <w:sz w:val="28"/>
          <w:cs/>
        </w:rPr>
        <w:t xml:space="preserve"> ต่อปี ตั้งแต่ต้นปี </w:t>
      </w:r>
      <w:r w:rsidRPr="00827DAB">
        <w:rPr>
          <w:rFonts w:ascii="Cordia New" w:hAnsi="Cordia New" w:cs="Cordia New"/>
          <w:sz w:val="28"/>
        </w:rPr>
        <w:t>2566</w:t>
      </w:r>
      <w:r w:rsidRPr="00827DAB">
        <w:rPr>
          <w:rFonts w:ascii="Cordia New" w:hAnsi="Cordia New" w:cs="Cordia New"/>
          <w:sz w:val="28"/>
          <w:cs/>
        </w:rPr>
        <w:t xml:space="preserve"> ควบคู่ไปกับการปรับขึ้นอัตราดอกเบี้ยนโยบายที่เริ่มมาตั้งแต่เดือนสิงหาคมปี 2565</w:t>
      </w:r>
    </w:p>
    <w:p w14:paraId="7CC104D1" w14:textId="77777777" w:rsidR="00827DAB" w:rsidRPr="00827DAB" w:rsidRDefault="00827DAB" w:rsidP="00827DAB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827DAB">
        <w:rPr>
          <w:rFonts w:ascii="Cordia New" w:hAnsi="Cordia New" w:cs="Cordia New"/>
          <w:sz w:val="28"/>
        </w:rPr>
        <w:t xml:space="preserve">Krungthai COMPASS </w:t>
      </w:r>
      <w:r w:rsidRPr="00827DAB">
        <w:rPr>
          <w:rFonts w:ascii="Cordia New" w:hAnsi="Cordia New" w:cs="Cordia New"/>
          <w:sz w:val="28"/>
          <w:cs/>
        </w:rPr>
        <w:t xml:space="preserve">ประเมินว่าการสิ้นสุดมาตรการลด </w:t>
      </w:r>
      <w:r w:rsidRPr="00827DAB">
        <w:rPr>
          <w:rFonts w:ascii="Cordia New" w:hAnsi="Cordia New" w:cs="Cordia New"/>
          <w:sz w:val="28"/>
        </w:rPr>
        <w:t>FIDF</w:t>
      </w:r>
      <w:r w:rsidRPr="00827DAB">
        <w:rPr>
          <w:rFonts w:ascii="Cordia New" w:hAnsi="Cordia New" w:cs="Cordia New"/>
          <w:sz w:val="28"/>
          <w:cs/>
        </w:rPr>
        <w:t xml:space="preserve"> </w:t>
      </w:r>
      <w:r w:rsidRPr="00827DAB">
        <w:rPr>
          <w:rFonts w:ascii="Cordia New" w:hAnsi="Cordia New" w:cs="Cordia New"/>
          <w:sz w:val="28"/>
        </w:rPr>
        <w:t>fee</w:t>
      </w:r>
      <w:r w:rsidRPr="00827DAB">
        <w:rPr>
          <w:rFonts w:ascii="Cordia New" w:hAnsi="Cordia New" w:cs="Cordia New"/>
          <w:sz w:val="28"/>
          <w:cs/>
        </w:rPr>
        <w:t xml:space="preserve"> จะส่งผลให้ต้นทุนทางการเงินในระบบธนาคารเพิ่มขึ้นประมาณ </w:t>
      </w:r>
      <w:r w:rsidRPr="00827DAB">
        <w:rPr>
          <w:rFonts w:ascii="Cordia New" w:hAnsi="Cordia New" w:cs="Cordia New"/>
          <w:sz w:val="28"/>
        </w:rPr>
        <w:t>4</w:t>
      </w:r>
      <w:r w:rsidRPr="00827DAB">
        <w:rPr>
          <w:rFonts w:ascii="Cordia New" w:hAnsi="Cordia New" w:cs="Cordia New"/>
          <w:sz w:val="28"/>
          <w:cs/>
        </w:rPr>
        <w:t xml:space="preserve"> หมื่นล้านบาท ซึ่งจะส่งผ่านไปยังอัตราดอกเบี้ยเงินกู้กลุ่ม </w:t>
      </w:r>
      <w:r w:rsidRPr="00827DAB">
        <w:rPr>
          <w:rFonts w:ascii="Cordia New" w:hAnsi="Cordia New" w:cs="Cordia New"/>
          <w:sz w:val="28"/>
        </w:rPr>
        <w:t xml:space="preserve">M-Rate </w:t>
      </w:r>
      <w:r w:rsidRPr="00827DAB">
        <w:rPr>
          <w:rFonts w:ascii="Cordia New" w:hAnsi="Cordia New" w:cs="Cordia New"/>
          <w:sz w:val="28"/>
          <w:cs/>
        </w:rPr>
        <w:t xml:space="preserve">ที่อาจจะเพิ่มขึ้นราว </w:t>
      </w:r>
      <w:r w:rsidRPr="00827DAB">
        <w:rPr>
          <w:rFonts w:ascii="Cordia New" w:hAnsi="Cordia New" w:cs="Cordia New"/>
          <w:sz w:val="28"/>
        </w:rPr>
        <w:t xml:space="preserve">0.4%-0.6% </w:t>
      </w:r>
      <w:r w:rsidRPr="00827DAB">
        <w:rPr>
          <w:rFonts w:ascii="Cordia New" w:hAnsi="Cordia New" w:cs="Cordia New"/>
          <w:sz w:val="28"/>
          <w:cs/>
        </w:rPr>
        <w:t>ได้ในคราวเดียว</w:t>
      </w:r>
    </w:p>
    <w:p w14:paraId="13E2CDBB" w14:textId="77777777" w:rsidR="00827DAB" w:rsidRPr="00827DAB" w:rsidRDefault="00827DAB" w:rsidP="00827DAB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827DAB">
        <w:rPr>
          <w:rFonts w:ascii="Cordia New" w:hAnsi="Cordia New" w:cs="Cordia New"/>
          <w:sz w:val="28"/>
          <w:cs/>
        </w:rPr>
        <w:t xml:space="preserve">การปรับขึ้นของอัตราดอกเบี้ยในระบบ แม้จะสอดคล้องกับทิศทางของเศรษฐกิจและเงินเฟ้อ แต่ก็เพิ่มความเสี่ยงด้านเครดิตแก่ระบบธนาคารในภาวะที่ยังมีลูกหนี้กลุ่มเปราะบาง และการฟื้นตัวที่ยังไม่ทั่วถึง </w:t>
      </w: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29B4E9DA" w14:textId="77777777" w:rsidR="00827DAB" w:rsidRDefault="00827DAB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827DAB">
        <w:rPr>
          <w:rFonts w:ascii="Cordia New" w:hAnsi="Cordia New" w:cs="Cordia New"/>
          <w:b/>
          <w:bCs/>
          <w:sz w:val="28"/>
          <w:szCs w:val="28"/>
          <w:cs/>
        </w:rPr>
        <w:t>ชัยสิทธิ์ อนุชิตวรวงศ์</w:t>
      </w:r>
    </w:p>
    <w:p w14:paraId="24D0B49F" w14:textId="77777777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200926A7" w14:textId="51E3A228" w:rsidR="00827DAB" w:rsidRDefault="00827DAB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827DA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243D381A" w14:textId="25E52DEA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เมื่อภาพรวมของเศรษฐกิจไทยฟื้นตัวต่อเนื่องและชัดเจนขึ้น ภายใต้ภาวะแรงกดดันจากอัตราเงินเฟ้อที่สูงกว่ากรอบเป้าหมาย ธนาคารแห่งประเทศไทย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(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ธปท.) จึงเริ่มกระบวนการปรับนโยบายสู่ภาวะปกติ หรือ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Policy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Normalization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มาตรการช่วยเหลือหรือกระตุ้นเศรษฐกิจในวงกว้าง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(broad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based)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ในช่วงวิกฤต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ทยอยสิ้นสุดลง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มาตรการปรับลดอัตราเงินนำส่งจากสถาบันการเงินเข้ากองทุนฟื้นฟูและพัฒนาระบบสถาบันการเงิน (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ก็เช่นกัน บทความนี้จะช่วยผู้อ่านทำความเข้าใจบทบาทของ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และจะวิเคราะห์ผลกระทบของการปรับอัตราเงินนำส่ง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สู่ระดับปกติ ในบริบทของเศรษฐกิจ ณ ปัจจุบ้น ที่แม้จะเริ่มฟื้นตัว แต่ยังไม่ทั่วถึงและยังเผชิญกับความไม่แน่นอนและปัจจัยความเสี่ยงที่มีอยู่เบื้องหน้า</w:t>
      </w:r>
    </w:p>
    <w:p w14:paraId="37B1757D" w14:textId="655EEC9F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โดยปกติ สถาบันการเงินต้องนำส่งเงินสมทบเข้ากองทุน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FIDF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ปีละ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0.46%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ของฐานเงินฝาก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</w:rPr>
        <w:footnoteReference w:id="1"/>
      </w:r>
    </w:p>
    <w:p w14:paraId="0811A71C" w14:textId="641F4259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8240" behindDoc="0" locked="0" layoutInCell="1" allowOverlap="1" wp14:anchorId="316E2445" wp14:editId="47E53510">
            <wp:simplePos x="0" y="0"/>
            <wp:positionH relativeFrom="column">
              <wp:posOffset>0</wp:posOffset>
            </wp:positionH>
            <wp:positionV relativeFrom="paragraph">
              <wp:posOffset>1636395</wp:posOffset>
            </wp:positionV>
            <wp:extent cx="5943600" cy="3267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ในภาวะปกติ สถาบันการเงินจะต้องนำส่งเงินสมทบให้แก่ ธปท. เพื่อเข้าบัญชีสะสมสำหรับการชำระคืนต้นเงินกู้เพื่อชดใช้ความเสียหายของกองทุน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(FIDF Fee)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ในอัตรา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0.46%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ต่อปีจากฐานเงินฝาก </w:t>
      </w:r>
      <w:r>
        <w:rPr>
          <w:rStyle w:val="FootnoteReference"/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footnoteReference w:id="2"/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ซึ่งเป็นแหล่งเงินหลักในการชำระหนี้กองทุน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โดยในปีงบประมาณ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2561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ตุลาคม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2561-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กันยายน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2562)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ก่อนเกิด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สถาบันการเงินได้นำส่งเงินสมทบแก่ ธปท. จำนวน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6.38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หมื่นล้านบาท เพื่อใช้ชำระต้นเงินกู้และดอกเบี้ยของกองทุนฯ อย่างไรก็ดี หลังจากที่ ธปท. ลดอัตรานำส่ง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ซึ่งมีผลตั้งแต่เดือนกราคม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2563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ทำให้ยอดเงินนำส่งจากสถาบันการเงินในปีงบประมาณ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2562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2563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ลดลงจากปีงบประมาณ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2561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เหลือเพียง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4.6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หมื่นล้านบาท และ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3.5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หมื่นล้านบาท ตามลำดับ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รูปที่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1)</w:t>
      </w:r>
    </w:p>
    <w:p w14:paraId="1E413018" w14:textId="77777777" w:rsidR="00827DAB" w:rsidRDefault="00827DAB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827DA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7292541F" w14:textId="5AF66D2F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01B1862F" wp14:editId="624D8887">
            <wp:simplePos x="0" y="0"/>
            <wp:positionH relativeFrom="column">
              <wp:posOffset>7620</wp:posOffset>
            </wp:positionH>
            <wp:positionV relativeFrom="paragraph">
              <wp:posOffset>1371600</wp:posOffset>
            </wp:positionV>
            <wp:extent cx="5943600" cy="3835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สอดคล้องกับสัดส่วนยอดเงินนำส่งสะสมตั้งแต่เดือนกุมภาพันธ์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2555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ของสถาบันการเงินเพื่อชำระหนี้เงินต้นและดอกเบี้ยของกองทุน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ที่ลดลง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63.3%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ณ สิ้นเดือนกันยายน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2562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มาอยู่ที่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62%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และ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61.2%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ณ สิ้นเดือนกันยายน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2563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และ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2564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ตามลำดับ (รูปที่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2)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อย่างไรก็ดีในช่วงที่มีการลดอัตราเงินนำส่งจากสถาบันการเงินนั้น ได้มีการนำส่งเงินจากกองทุนฯ และบัญชีผลประโยชน์ของ ธปท. เพิ่มขึ้นกว่าปกติ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จึงทำให้ยอดหนี้คงค้างของกองทุน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ลดลงราว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แสนล้านบาท มาอยู่ที่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7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แสนล้านบาท ณ สิ้นเดือนกันยายน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2564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เทียบกับช่วงเดียวกันในปี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2562</w:t>
      </w:r>
    </w:p>
    <w:p w14:paraId="7DE46662" w14:textId="3AC79BCF" w:rsidR="00AB7BAE" w:rsidRDefault="00AB7BAE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5AD341C3" w14:textId="77777777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ในช่วงสถานการณ์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COVID-19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ธปท. ได้ลดอัตราเงินนำส่ง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FIDF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ในปี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2563-2565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หนุนธนาคารลดดอกเบี้ยเงินกู้ยืม</w:t>
      </w:r>
    </w:p>
    <w:p w14:paraId="758EA962" w14:textId="77777777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สืบเนื่องจากสถานการณ์การระบาดของ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ได้ส่งผลกระทบอย่างรุนแรงต่อเศรษฐกิจไทยในวงกว้าง เป็นผลจากการหยุดชะงักของกิจกรรมทางเศรษฐกิจต่างๆ ของภาคธุรกิจและครัวเรือน ซึ่งทำให้รายได้และกำลังซื้อลดลง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ธปท. จึงออกมาตรการช่วยเหลือเพื่อลดต้นทุนทางการเงินของธุรกิจและครัวเรือนลง ด้วยการปรับลดอัตราเงินนำส่งจากธนาคารพาณิชย์เข้าบัญชีสะสมเพื่อการชำระคืนต้นเงินกู้ชดใช้ความเสียหายของกองทุนฯ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 (FIDF Fee)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เป็นการชั่วคราว จาก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0.46%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ต่อปี เป็น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0.23%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ต่อปี ในช่วงปี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2563-2564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และได้มีการต่ออายุมาตรการดังกล่าวไปจนถึงสิ้นปี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2565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</w:p>
    <w:p w14:paraId="2AFCFB69" w14:textId="77777777" w:rsidR="00827DAB" w:rsidRDefault="00827DAB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827DA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693C46F6" w14:textId="12DE84AB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ด้วยภาระต้นทุนทางการเงินของธนาคารจากการนำส่งเงินสมทบ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Fee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ลดลงเหลือ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0.23%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ต่อปี ธนาคารพาณิชย์จึงสามารถลดอัตราดอกเบี้ยเงินกู้ลงเพื่อช่วยบรรเทาผลกระทบต่อภาคธุรกิจและประชาชน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ทั้งนี้ อัตราดอกเบี้ยเงินกู้ยืมประเภทต่างๆ โดยเฉลี่ยปรับลดลงและอยู่ในระดับต่ำกว่าช่วงก่อน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(รูปที่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โดยที่ธนาคารพาณิชย์ขนาดใหญ่ได้ปรับลดอัตราดอกเบี้ยเงินกู้กลุ่ม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M-Rate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ลง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0.4%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ทันทีภายหลัง ธปท. ออกมาตรการข้างต้น</w:t>
      </w:r>
    </w:p>
    <w:p w14:paraId="487B4D4B" w14:textId="2D80AC17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โดยลูกค้าสินเชื่อธุรกิจและสินเชื่อรายย่อยที่มีสัญญาเงินกู้ผูกกับอัตราดอกเบี้ยกลุ่ม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M-Rate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จะมีภาระดอกเบี้ยจ่ายน้อยลง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จากการประเมินของ ธปท. ผู้ที่จะได้ประโยชน์จากการปรับลดอัตราเงินนำส่ง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ครอบคลุมลูกค้าสินเชื่อธุรกิจและสินเชื่อรายย่อยจำนวนรวมกัน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1.38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ล้านรายซึ่งมียอดหนี้คงค้างรวมกัน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5.57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ล้านล้านบาท (รูปที่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4)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 โดยรวมแล้ว จะช่วยแบ่งเบาภาระดอกเบี้ยของลูกหนี้ที่ถูกกระทบทั้งทางตรงและทางอ้อมจากวิกฤต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ที่ลากยาวมาตั้งแต่ปี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2563</w:t>
      </w:r>
    </w:p>
    <w:p w14:paraId="3D510EBD" w14:textId="69EE141C" w:rsidR="00827DAB" w:rsidRPr="00827DAB" w:rsidRDefault="00827DAB" w:rsidP="00827DAB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drawing>
          <wp:anchor distT="0" distB="0" distL="114300" distR="114300" simplePos="0" relativeHeight="251660288" behindDoc="0" locked="0" layoutInCell="1" allowOverlap="1" wp14:anchorId="3933251A" wp14:editId="2B87100D">
            <wp:simplePos x="0" y="0"/>
            <wp:positionH relativeFrom="column">
              <wp:posOffset>0</wp:posOffset>
            </wp:positionH>
            <wp:positionV relativeFrom="paragraph">
              <wp:posOffset>916940</wp:posOffset>
            </wp:positionV>
            <wp:extent cx="5943600" cy="483743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แม้ว่ามาตรการลดอัตราเงินนำส่ง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จะเป็นประโยชน์อย่างยิ่งต่อภาคธุรกิจและประชาชนในภาวะที่เศรษฐกิจถูกกระทบรุนแรงจากวิกฤต 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COVID-19</w:t>
      </w:r>
      <w:r w:rsidRPr="00827DAB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แต่การลดอัตราเงินนำส่ง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ก็ต้องแลกมาด้วยการล้างหนี้กองทุน 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827DAB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ที่จะช้าลงกว่าที่เคยคาดไว้</w:t>
      </w:r>
    </w:p>
    <w:p w14:paraId="16B13815" w14:textId="6D866357" w:rsidR="00827DAB" w:rsidRDefault="00827DAB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2AD4ECF5" w14:textId="77777777" w:rsidR="00827DAB" w:rsidRDefault="00827DAB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827DAB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703F75C6" w14:textId="77777777" w:rsidR="00B41195" w:rsidRDefault="00B41195" w:rsidP="00B41195">
      <w:pPr>
        <w:spacing w:after="0"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lastRenderedPageBreak/>
        <w:drawing>
          <wp:anchor distT="0" distB="0" distL="114300" distR="114300" simplePos="0" relativeHeight="251661312" behindDoc="0" locked="0" layoutInCell="1" allowOverlap="1" wp14:anchorId="4E5C74EE" wp14:editId="4066BA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340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7ADD4" w14:textId="4DAFE70B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สิ้นสุดการต่ออายุ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…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เก็บ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FIDF Fee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เต็มจำนวนตั้งแต่เดือน ม.ค.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2566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เป็นต้นไป เข้าสู่ยุคดอกเบี้ยขาขึ้นเต็มตัว</w:t>
      </w:r>
    </w:p>
    <w:p w14:paraId="19246A5F" w14:textId="0E74DFB0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ธปท. ประกาศปรับมาตรการผ่อนคลายทางการเงินที่ส่งผลเป็นวงกว้างเข้าสู่ภาวะปกติ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 (Policy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Normalization)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ในการประชุมคณะกรรมการนโยบายการเงิน (กนง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.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เมื่อวันที่ 30 พฤศจิกายน 2565 ธปท. ได้ปรับขึ้นอัตราดอกเบี้ยนโยบายต่อเนื่องเป็นครั้งที่ 3 ของปี และยืนยันที่จะสิ้นสุดการลด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 Fee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ภายในปี 2565 ซึ่งแปลว่าระบบธนาคารจะต้องนำส่งเงินสมทบเข้ากองทุน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เต็มจำนวนที่อัตรา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0.46%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ต่อปี คิดจากฐานเงินฝาก ตั้งแต่เดือนมกราคม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2566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เป็นต้นไป จากในช่วง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ปีที่ผ่านมาธนาคารพาณิชย์นำส่งเงินเข้ากองทุน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ที่อัตรา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0.23%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ต่อปี </w:t>
      </w:r>
    </w:p>
    <w:p w14:paraId="2B056979" w14:textId="77777777" w:rsidR="00B41195" w:rsidRDefault="00B41195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B4119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6F5742C0" w14:textId="4C92A853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การปรับนโยบายเข้าสู่ภาวะปกติของ ธปท. เป็นผลสืบเนื่องจากมุมมองเศรษฐกิจไทยในภาพรวมที่ฟื้นตัวชัดเจนขึ้น และอัตราเงินเฟ้อที่สูงกว่ากรอบเป้าหมาย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ธปท. ประเมินว่าเศรษฐกิจไทยมีแนวโน้มที่จะฟื้นตัวต่อเนื่องที่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3.7%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ในปี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2566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3.9%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ในปี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2567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จากปี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2565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ที่คาดว่าจะเติบโตที่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3.2%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มีแรงส่งสำคัญจากภาคการท่องเที่ยวที่ฟื้นตัวชัดเจนตามการเพิ่มขึ้นของจำนวนนักท่องเที่ยวต่างชาติ และการฟื้นตัวของกิจกรรมทางเศรษฐกิจของภาคธุรกิจรวมไปถึงการจ้างงานและรายได้ที่ปรับตัวดีขึ้นซึ่งจะช่วยสนับสนุนกำลังซื้อและการบริโภคภาคเอกชน ขณะที่อัตราเงินเฟ้อจะอยู่ที่ 6.3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ในปี 2565 และ 3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ในปี 2566 โดยที่อัตราเงินเฟ้อจะยังสูงกว่ากรอบเป้าหมายที่ 1-3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ในระยะข้างหน้า</w:t>
      </w:r>
    </w:p>
    <w:p w14:paraId="01A8A296" w14:textId="5AAA1FFB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อนึ่ง การปรับอัตราเงินนำส่ง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Fee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กลับสู่ระดับปกติที่ 0.46% ของฐานเงินฝากในคราวเดียว จะทำให้ต้นทุนในระบบธนาคารพาณิชย์เพิ่มขึ้นราว 4 หมื่นล้านบาท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ซึ่งการส่งผ่านนโยบายดังกล่าวจะเกิดขึ้นโดยการปรับขึ้นอัตราดอกเบี้ยเงินกู้ของธนาคารพาณิชย์ และอาจจะทำให้อัตราดอกเบี้ยเงินกู้ในกลุ่ม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M-Rate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ปรับสูงขึ้นได้ถึง 0.4-0.6% ในคราวเดียว</w:t>
      </w:r>
    </w:p>
    <w:p w14:paraId="3D71F815" w14:textId="6E702F15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62336" behindDoc="0" locked="0" layoutInCell="1" allowOverlap="1" wp14:anchorId="07C02C2B" wp14:editId="4B6ABD4B">
            <wp:simplePos x="0" y="0"/>
            <wp:positionH relativeFrom="column">
              <wp:posOffset>0</wp:posOffset>
            </wp:positionH>
            <wp:positionV relativeFrom="paragraph">
              <wp:posOffset>947420</wp:posOffset>
            </wp:positionV>
            <wp:extent cx="5943600" cy="40024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ผลที่ตามมา คือ อัตราดอกเบี้ยจะเพิ่มสูงขึ้นทั้งจากการปรับ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FIDF Fee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และการปรับขึ้นอัตราดอกเบี้ยนโยบายในระยะข้างหน้า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ภาคธุรกิจและประชาชนจะมีต้นทุนทางการเงินเพิ่มขึ้น โดยกลุ่มใหญ่จะเป็นกลุ่มลูกหนี้สินเชื่อธุรกิจและรายย่อยที่จ่ายดอกเบี้ยอิงกับอัตราดอกเบี้ย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MRR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ซึ่งมีสัดส่วนจำนวนรายลูกค้ารวมกันสูงถึง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91%</w:t>
      </w:r>
    </w:p>
    <w:p w14:paraId="58ECB991" w14:textId="77777777" w:rsidR="00B41195" w:rsidRDefault="00B41195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B4119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63F275ED" w14:textId="43D358D9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ดอกเบี้ยขึ้น แม้จะสอดคล้องกับทิศทางของเศรษฐกิจและเงินเฟ้อ แต่ก็เพิ่มความเสี่ยงด้านเครดิต</w:t>
      </w:r>
    </w:p>
    <w:p w14:paraId="67A2F4E3" w14:textId="1E04437E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ทิศทางดอกเบี้ยที่เพิ่มสูงขึ้น แม้จะสอดคล้องกับทิศทางของเศรษฐกิจและเงินเฟ้อ แต่ก็เพิ่มความเสี่ยงด้านเครดิตแก่ระบบธนาคารในภาวะที่ยังมีลูกหนี้กลุ่มเปราะบาง และการฟื้นตัวที่ยังไม่ทั่วถึง </w:t>
      </w:r>
    </w:p>
    <w:p w14:paraId="7199A8F7" w14:textId="77777777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ทั้งนี้ จากรายงานผลการดำเนินงานของระบบธนาคารพาณิชย์ ณ ไตรมาส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3/2565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คุณภาพสินเชื่อในภาพรวมดีขึ้น จากการปรับโครงสร้างหนี้ของลูกหนี้และการให้ความช่วยเหลือแก่ลูกหนี้อย่างต่อเนื่อง โดยระบบธนาคารพาณิชย์มีสัดส่วนสินเชื่อด้อยคุณภาพต่อสินเชื่อรวม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(NPL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Ratio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หรือ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Stage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3)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ลดลงต่อเนื่องจาก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3.14%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ในไตรมาส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3/2564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มาอยู่ที่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2.77%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ในไตรมาส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3/2565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ต่มีประเด็นน่ากังวลในส่วนที่เป็นสินเชื่อที่มีการเพิ่มขึ้นอย่างมีนัยสำคัญของความเสี่ยงด้านเครดิต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(Stage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2)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ซึ่งมีสัดส่วนเพิ่มขึ้นมาอยู่ที่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6.26%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ในไตรมาส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3/2565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6.09%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ในไตรมาสก่อนหน้า</w:t>
      </w:r>
    </w:p>
    <w:p w14:paraId="2EF3F947" w14:textId="77777777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ประกอบกับข้อมูลล่าสุดของบริษัท ศูนย์ข้อมูลเครดิตแห่งชาติ จำกัด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(NCB)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ชี้ว่าปัญหาหนี้มีปัญหายังคงเป็นประเด็นที่น่าเป็นห่วงและต้องติดตามต่อเนื่อง โดยพบว่ามีลูกหนี้ที่ผิดนัดชำระหนี้เกิน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90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วันจากผลกระทบของ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COVID-19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เพิ่มขึ้นจาก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1.9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ล้านรายในเดือนมกราคม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2565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เป็นประมาณ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3.2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ล้านราย ในเดือนกันยายน 2565 โดยในจำนวนนี้เป็นลูกหนี้ของธนาคารพาณิชย์ราว 4.24 แสนราย เพิ่มขึ้นจาก 2.75 แสนรายในเดือนมกราคม 2565 นอกจากนี้ ยังพบว่าลูกหนี้ธุรกิจขนาดเล็กที่มีวงเงินไม่เกิน 20 ล้านบาท ประสบปัญหาในการชำระหนี้ 1 เดือน และ 2 เดือนขึ้นไป ยังคงเพิ่มขึ้นแม้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 COVID-19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จะคลี่คลายลงแล้ว </w:t>
      </w:r>
    </w:p>
    <w:p w14:paraId="60AEE1D9" w14:textId="77777777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โดยรวมแล้ว แม้ว่าเศรษฐกิจมีแนวโน้มฟื้นตัวดีขึ้นแต่ยังมีความเปราะบาง อีกทั้งภาระทางการเงินของลูกหนี้มีแนวโน้มสูงขึ้นตามการปรับขึ้นของอัตราดอกเบี้ยเงินกู้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ตามที่กล่าวก่อนหน้า ฉะนั้น ธนาคารพาณิชย์โดยรวมจึงยังคงให้ความสำคัญกับการติดตามและดูแลคุณภาพหนี้อย่างต่อเนื่อง พร้อมให้ความช่วยเหลือกลุ่มเปราะบางในช่วงการเปลี่ยนผ่านและความสนับสนุนการปรับตัวที่จะนำไปสู่การฟื้นตัวได้อย่างยั่งยืน ซึ่งจะช่วยลดความเสี่ยงด้านเครดิตต่อระบบธนาคารพาณิชย์  นอกจากนี้ ธนาคารพาณิชย์จะยังคงมีการกันสำรองหนี้ด้อยคุณภาพไว้ในระดับสูงเพื่อสร้างความมั่นใจในเสถียรภาพและความสามารถในการรองรับคุณภาพสินเชื่อแม้มาตรการช่วยเหลือต่างๆ ของ ธปท. จะทยอยสิ้นสุดลงในระยะข้างหน้า</w:t>
      </w:r>
    </w:p>
    <w:p w14:paraId="249DF744" w14:textId="77777777" w:rsidR="00B41195" w:rsidRDefault="00B41195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B4119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579DF365" w14:textId="3632DE0E" w:rsidR="00827DAB" w:rsidRPr="00B41195" w:rsidRDefault="00B41195" w:rsidP="00D83101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21814A3F" w14:textId="77777777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การปรับอัตราเงินนำส่งจากธนาคารพาณิชย์เข้ากองทุน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FIDF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กลับสู่ระดับปกติที่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0.46%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ต่อปีในคราวเดียวตั้งแต่เดือนมกราคมปี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2566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จากที่นำส่งที่อัตรา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0.23%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ในช่วงปี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2563-2565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จะทำให้ธนาคารพาณิชย์มีภาระต้นทุนเพิ่มขึ้นประมาณ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4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หมื่นล้านบาท ซึ่งคาดว่าจะนำไปสู่การปรับขึ้นของอัตราดอกเบี้ยในกลุ่ม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M-Rate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ประมาณ 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0.4-0.6%</w:t>
      </w: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ในคราวเดียว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ผลกระทบของภาระต้นทุนทางการเงินที่เพิ่มขึ้นนั้นจะกระจุกตัวสูงในกลุ่มลูกหนี้สินเชื่อธุรกิจและสินเชื่อรายย่อยที่มีสัญญาเงินกู้ยืมผูกกับอัตราดอกเบี้ยเงินกู้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MRR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ซึ่งมีสัดส่วนจำนวนรายลูกค้ารวมกันถึง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91% </w:t>
      </w:r>
    </w:p>
    <w:p w14:paraId="780A1CD6" w14:textId="77777777" w:rsidR="00B41195" w:rsidRPr="00B41195" w:rsidRDefault="00B41195" w:rsidP="00B4119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B4119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แม้ ธปท. จะต้องการให้อัตราดอกเบี้ยในระบบเพิ่มสูงขึ้นสอดคล้องไปกับทิศทางการฟื้นตัวของเศรษฐกิจและความเสี่ยงด้านเงินเฟ้อ แต่ก็ต้องเผชิญกับความเสี่ยงที่แฝงมากับความสามารถในการชำระหนี้ที่ยังเปราะบาง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้นทุนทางการเงินของผู้กู้จะสูงขึ้นตามการปรับขึ้นของอัตราดอกเบี้ยนโยบายและการปรับอัตราเงินนำส่ง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FIDF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Fee</w:t>
      </w:r>
      <w:r w:rsidRPr="00B4119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กลับสู่ระดับปกติ ฉะนั้น ผู้ที่มีภาระผ่อนจ่ายจากการกู้เงินจำเป็นต้องให้ความสำคัญกับการบริหารเงินอย่างมีประสิทธิภาพมากขึ้น ทั้งในแง่การวางแผนการใช้จ่าย ลดหนี้สิน และบริหารการลงทุนเพื่อสร้างผลตอบแทนที่ดีขึ้นกว่าเดิม สำหรับธนาคารพาณิชย์เอง ก็จะให้ความช่วยเหลือแก่ลูกหนี้ในการปรับโครงสร้างหนี้ และลูกหนี้กลุ่มเปราะบางในการแก้ไขปัญหาหนี้สินเพื่อให้สามารถกลับมาพลิกฟื้นและเข้มแข็งอีกครั้งหนึ่ง พร้อมทั้งให้ความสนับสนุนเงินทุนแก่ภาคธุรกิจในการปรับตัวและเพิ่มขีดความสามารถในการแข่งขันเพื่อรองรับบริบทโลกใหม่และเติบโตได้อย่างยั่งยืน</w:t>
      </w:r>
    </w:p>
    <w:p w14:paraId="587D8DE9" w14:textId="77777777" w:rsidR="00B41195" w:rsidRPr="00A842DD" w:rsidRDefault="00B41195" w:rsidP="00D8310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sectPr w:rsidR="00B41195" w:rsidRPr="00A842DD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5745" w14:textId="77777777" w:rsidR="000B4D80" w:rsidRDefault="000B4D80" w:rsidP="00DE657B">
      <w:pPr>
        <w:spacing w:after="0" w:line="240" w:lineRule="auto"/>
      </w:pPr>
      <w:r>
        <w:separator/>
      </w:r>
    </w:p>
  </w:endnote>
  <w:endnote w:type="continuationSeparator" w:id="0">
    <w:p w14:paraId="199C5F3F" w14:textId="77777777" w:rsidR="000B4D80" w:rsidRDefault="000B4D80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A6D" w14:textId="77777777" w:rsidR="000B4D80" w:rsidRDefault="000B4D80" w:rsidP="00DE657B">
      <w:pPr>
        <w:spacing w:after="0" w:line="240" w:lineRule="auto"/>
      </w:pPr>
      <w:r>
        <w:separator/>
      </w:r>
    </w:p>
  </w:footnote>
  <w:footnote w:type="continuationSeparator" w:id="0">
    <w:p w14:paraId="2B23BA4D" w14:textId="77777777" w:rsidR="000B4D80" w:rsidRDefault="000B4D80" w:rsidP="00DE657B">
      <w:pPr>
        <w:spacing w:after="0" w:line="240" w:lineRule="auto"/>
      </w:pPr>
      <w:r>
        <w:continuationSeparator/>
      </w:r>
    </w:p>
  </w:footnote>
  <w:footnote w:id="1">
    <w:p w14:paraId="79D6ED13" w14:textId="3D3D0277" w:rsidR="00827DAB" w:rsidRPr="00827DAB" w:rsidRDefault="00827DAB">
      <w:pPr>
        <w:pStyle w:val="FootnoteText"/>
        <w:rPr>
          <w:rFonts w:asciiTheme="minorBidi" w:hAnsiTheme="minorBidi"/>
          <w:sz w:val="22"/>
          <w:szCs w:val="22"/>
        </w:rPr>
      </w:pPr>
      <w:r w:rsidRPr="00827DAB">
        <w:rPr>
          <w:rStyle w:val="FootnoteReference"/>
          <w:rFonts w:asciiTheme="minorBidi" w:hAnsiTheme="minorBidi"/>
          <w:sz w:val="28"/>
          <w:szCs w:val="28"/>
        </w:rPr>
        <w:footnoteRef/>
      </w:r>
      <w:r w:rsidRPr="00827DAB">
        <w:rPr>
          <w:rFonts w:asciiTheme="minorBidi" w:hAnsiTheme="minorBidi"/>
          <w:sz w:val="22"/>
          <w:szCs w:val="22"/>
        </w:rPr>
        <w:t xml:space="preserve"> </w:t>
      </w:r>
      <w:r w:rsidRPr="00827DAB">
        <w:rPr>
          <w:rFonts w:asciiTheme="minorBidi" w:hAnsiTheme="minorBidi"/>
          <w:sz w:val="22"/>
          <w:szCs w:val="22"/>
          <w:cs/>
        </w:rPr>
        <w:t xml:space="preserve">หนี้ </w:t>
      </w:r>
      <w:r w:rsidRPr="00827DAB">
        <w:rPr>
          <w:rFonts w:asciiTheme="minorBidi" w:hAnsiTheme="minorBidi"/>
          <w:sz w:val="22"/>
          <w:szCs w:val="22"/>
        </w:rPr>
        <w:t>FIDF</w:t>
      </w:r>
      <w:r w:rsidRPr="00827DAB">
        <w:rPr>
          <w:rFonts w:asciiTheme="minorBidi" w:hAnsiTheme="minorBidi"/>
          <w:sz w:val="22"/>
          <w:szCs w:val="22"/>
          <w:cs/>
        </w:rPr>
        <w:t xml:space="preserve"> หมายถึง ต้นเงินกู้ที่เกิดขึ้นตามพระราชกำหนดให้อำนาจกระทรวงการคลังกู้เงินและจัดการเงินกู้เพื่อช่วยเหลือกองทุนเพื่อการฟื้นฟูฯ พ.ศ. 2541 (</w:t>
      </w:r>
      <w:r w:rsidRPr="00827DAB">
        <w:rPr>
          <w:rFonts w:asciiTheme="minorBidi" w:hAnsiTheme="minorBidi"/>
          <w:sz w:val="22"/>
          <w:szCs w:val="22"/>
        </w:rPr>
        <w:t>FIDF1)</w:t>
      </w:r>
      <w:r w:rsidRPr="00827DAB">
        <w:rPr>
          <w:rFonts w:asciiTheme="minorBidi" w:hAnsiTheme="minorBidi"/>
          <w:sz w:val="22"/>
          <w:szCs w:val="22"/>
          <w:cs/>
        </w:rPr>
        <w:t xml:space="preserve"> และพระราชกำหนดให้อำนาจกระทรวงการคลังกู้เงินและจัดการเงินกู้เพื่อช่วยเหลือกองทุนเพื่อการฟื้นฟูฯ ระยะที่สอง พ.ศ. 2545 (</w:t>
      </w:r>
      <w:r w:rsidRPr="00827DAB">
        <w:rPr>
          <w:rFonts w:asciiTheme="minorBidi" w:hAnsiTheme="minorBidi"/>
          <w:sz w:val="22"/>
          <w:szCs w:val="22"/>
        </w:rPr>
        <w:t>FIDF3) </w:t>
      </w:r>
    </w:p>
  </w:footnote>
  <w:footnote w:id="2">
    <w:p w14:paraId="544ED40E" w14:textId="5DE35DFC" w:rsidR="00827DAB" w:rsidRDefault="00827DAB">
      <w:pPr>
        <w:pStyle w:val="FootnoteText"/>
        <w:rPr>
          <w:rFonts w:hint="cs"/>
          <w:cs/>
        </w:rPr>
      </w:pPr>
      <w:r w:rsidRPr="00827DAB">
        <w:rPr>
          <w:rStyle w:val="FootnoteReference"/>
          <w:rFonts w:asciiTheme="minorBidi" w:hAnsiTheme="minorBidi"/>
          <w:sz w:val="28"/>
          <w:szCs w:val="28"/>
        </w:rPr>
        <w:footnoteRef/>
      </w:r>
      <w:r w:rsidRPr="00827DAB">
        <w:rPr>
          <w:rFonts w:asciiTheme="minorBidi" w:hAnsiTheme="minorBidi"/>
          <w:sz w:val="22"/>
          <w:szCs w:val="22"/>
        </w:rPr>
        <w:t xml:space="preserve"> </w:t>
      </w:r>
      <w:r w:rsidRPr="00827DAB">
        <w:rPr>
          <w:rFonts w:asciiTheme="minorBidi" w:hAnsiTheme="minorBidi"/>
          <w:sz w:val="22"/>
          <w:szCs w:val="22"/>
          <w:cs/>
        </w:rPr>
        <w:t>ฐานเงินฝากที่ใช้คำนวณเงินนำส่งกองทุนฯ คือ ยอดเงินฝากถัวเฉลี่ยของบัญชีที่ได้รับการคุ้มครองและยอดเงินที่ได้รับจากประชาชนในแต่ละช่วงเวลา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25E2"/>
    <w:multiLevelType w:val="hybridMultilevel"/>
    <w:tmpl w:val="0CAC5E38"/>
    <w:lvl w:ilvl="0" w:tplc="07C8EEB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A50207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7487092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698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5AE61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02C274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545A0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AA47F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04779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3A0C0B34"/>
    <w:multiLevelType w:val="hybridMultilevel"/>
    <w:tmpl w:val="19FC3A88"/>
    <w:lvl w:ilvl="0" w:tplc="D91EF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CA2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9F2F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3A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1F0A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A2B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C903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468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07C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3E300642"/>
    <w:multiLevelType w:val="hybridMultilevel"/>
    <w:tmpl w:val="642EC694"/>
    <w:lvl w:ilvl="0" w:tplc="B1A69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0908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DD6E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DCC5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264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380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C842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D96E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60F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4075084C"/>
    <w:multiLevelType w:val="hybridMultilevel"/>
    <w:tmpl w:val="DDBE6D9C"/>
    <w:lvl w:ilvl="0" w:tplc="5A2E113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A66A6E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7BE08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130874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BE469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AEA149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14F0F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BD49BC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8C6FDC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67173ABC"/>
    <w:multiLevelType w:val="hybridMultilevel"/>
    <w:tmpl w:val="08A643BE"/>
    <w:lvl w:ilvl="0" w:tplc="25024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FEC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D4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34C5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9AC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5CD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B0A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9A0B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50E5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75004596"/>
    <w:multiLevelType w:val="hybridMultilevel"/>
    <w:tmpl w:val="93BCFA90"/>
    <w:lvl w:ilvl="0" w:tplc="028AB19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E76624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A00E21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078C7D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9EB26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C254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50831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352C92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914989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79F45F61"/>
    <w:multiLevelType w:val="hybridMultilevel"/>
    <w:tmpl w:val="9A425030"/>
    <w:lvl w:ilvl="0" w:tplc="A6A4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CD8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C1CF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C089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61A9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40B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F80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224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EEE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628244568">
    <w:abstractNumId w:val="4"/>
  </w:num>
  <w:num w:numId="2" w16cid:durableId="1523393346">
    <w:abstractNumId w:val="2"/>
  </w:num>
  <w:num w:numId="3" w16cid:durableId="1020279590">
    <w:abstractNumId w:val="6"/>
  </w:num>
  <w:num w:numId="4" w16cid:durableId="1969117042">
    <w:abstractNumId w:val="5"/>
  </w:num>
  <w:num w:numId="5" w16cid:durableId="567764439">
    <w:abstractNumId w:val="3"/>
  </w:num>
  <w:num w:numId="6" w16cid:durableId="906187152">
    <w:abstractNumId w:val="1"/>
  </w:num>
  <w:num w:numId="7" w16cid:durableId="1914121389">
    <w:abstractNumId w:val="7"/>
  </w:num>
  <w:num w:numId="8" w16cid:durableId="18930300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B4D80"/>
    <w:rsid w:val="000E2C4D"/>
    <w:rsid w:val="000F1638"/>
    <w:rsid w:val="00101DE1"/>
    <w:rsid w:val="00101F22"/>
    <w:rsid w:val="0011314F"/>
    <w:rsid w:val="001410DB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35A40"/>
    <w:rsid w:val="00455ABD"/>
    <w:rsid w:val="004F29F1"/>
    <w:rsid w:val="004F64D8"/>
    <w:rsid w:val="004F76AF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27DAB"/>
    <w:rsid w:val="008301AA"/>
    <w:rsid w:val="00850E72"/>
    <w:rsid w:val="00876985"/>
    <w:rsid w:val="00896A1E"/>
    <w:rsid w:val="008B0A97"/>
    <w:rsid w:val="008D2712"/>
    <w:rsid w:val="008E0408"/>
    <w:rsid w:val="00901197"/>
    <w:rsid w:val="009115B3"/>
    <w:rsid w:val="00916CDB"/>
    <w:rsid w:val="0092549E"/>
    <w:rsid w:val="00933653"/>
    <w:rsid w:val="00942C03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2ECA"/>
    <w:rsid w:val="00A46A21"/>
    <w:rsid w:val="00A842DD"/>
    <w:rsid w:val="00A86A1E"/>
    <w:rsid w:val="00A96C18"/>
    <w:rsid w:val="00AB4EA5"/>
    <w:rsid w:val="00AB7BAE"/>
    <w:rsid w:val="00AE435F"/>
    <w:rsid w:val="00B00512"/>
    <w:rsid w:val="00B24048"/>
    <w:rsid w:val="00B31870"/>
    <w:rsid w:val="00B41195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4F7E"/>
    <w:rsid w:val="00CC5EC7"/>
    <w:rsid w:val="00CD6683"/>
    <w:rsid w:val="00CE3151"/>
    <w:rsid w:val="00D2676D"/>
    <w:rsid w:val="00D52011"/>
    <w:rsid w:val="00D528D2"/>
    <w:rsid w:val="00D62E7E"/>
    <w:rsid w:val="00D63A3F"/>
    <w:rsid w:val="00D83101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244C"/>
    <w:rsid w:val="00E569C2"/>
    <w:rsid w:val="00EB763D"/>
    <w:rsid w:val="00EF3F4C"/>
    <w:rsid w:val="00F016E2"/>
    <w:rsid w:val="00F072A5"/>
    <w:rsid w:val="00F17988"/>
    <w:rsid w:val="00F23D61"/>
    <w:rsid w:val="00F80B25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2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5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8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1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79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73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9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5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4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6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6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79</cp:revision>
  <dcterms:created xsi:type="dcterms:W3CDTF">2021-07-07T06:15:00Z</dcterms:created>
  <dcterms:modified xsi:type="dcterms:W3CDTF">2022-12-13T08:12:00Z</dcterms:modified>
</cp:coreProperties>
</file>