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CD76" w14:textId="4C4F8106" w:rsidR="00293DA0" w:rsidRPr="002B3211" w:rsidRDefault="00E52B54" w:rsidP="00603004">
      <w:pPr>
        <w:pStyle w:val="NoSpacing"/>
        <w:rPr>
          <w:cs/>
        </w:rPr>
      </w:pPr>
      <w:r>
        <w:rPr>
          <w:noProof/>
          <w:lang w:val="th-TH"/>
        </w:rPr>
        <w:drawing>
          <wp:inline distT="0" distB="0" distL="0" distR="0" wp14:anchorId="2115B227" wp14:editId="3D73C0FD">
            <wp:extent cx="5943600" cy="3960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B5773" w14:textId="77777777" w:rsidR="006A03C1" w:rsidRDefault="006A03C1" w:rsidP="008301AA">
      <w:pPr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14:paraId="174A1A96" w14:textId="291D6513" w:rsidR="00EF3F4C" w:rsidRPr="002B3211" w:rsidRDefault="00EF3F4C" w:rsidP="008301AA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2B3211">
        <w:rPr>
          <w:rFonts w:ascii="Cordia New" w:hAnsi="Cordia New" w:cs="Cordia New"/>
          <w:b/>
          <w:bCs/>
          <w:sz w:val="32"/>
          <w:szCs w:val="32"/>
        </w:rPr>
        <w:t>Key Highlights</w:t>
      </w:r>
    </w:p>
    <w:p w14:paraId="0AF600AD" w14:textId="59AC3B64" w:rsidR="00E52B54" w:rsidRPr="00E52B54" w:rsidRDefault="00E52B54" w:rsidP="007A5464">
      <w:pPr>
        <w:pStyle w:val="ListParagraph"/>
        <w:numPr>
          <w:ilvl w:val="0"/>
          <w:numId w:val="1"/>
        </w:numPr>
        <w:rPr>
          <w:rFonts w:ascii="Cordia New" w:hAnsi="Cordia New" w:cs="Cordia New"/>
          <w:sz w:val="28"/>
        </w:rPr>
      </w:pPr>
      <w:r w:rsidRPr="00E52B54">
        <w:rPr>
          <w:rFonts w:ascii="Cordia New" w:hAnsi="Cordia New" w:cs="Cordia New"/>
          <w:b/>
          <w:bCs/>
          <w:sz w:val="28"/>
          <w:cs/>
        </w:rPr>
        <w:t>กนง. มีมติเป็นเอกฉันท์ให้ปรับขึ้นอัตราดอกเบี้ยนโยบายร้อยละ 0.25 ต่อปี สู่ระดับร้อยละ 1.</w:t>
      </w:r>
      <w:r w:rsidRPr="00E52B54">
        <w:rPr>
          <w:rFonts w:ascii="Cordia New" w:hAnsi="Cordia New" w:cs="Cordia New"/>
          <w:b/>
          <w:bCs/>
          <w:sz w:val="28"/>
        </w:rPr>
        <w:t>25</w:t>
      </w:r>
      <w:r w:rsidRPr="00E52B54">
        <w:rPr>
          <w:rFonts w:ascii="Cordia New" w:hAnsi="Cordia New" w:cs="Cordia New"/>
          <w:b/>
          <w:bCs/>
          <w:sz w:val="28"/>
          <w:cs/>
        </w:rPr>
        <w:t xml:space="preserve"> ต่อปี </w:t>
      </w:r>
      <w:r w:rsidRPr="00E52B54">
        <w:rPr>
          <w:rFonts w:ascii="Cordia New" w:hAnsi="Cordia New" w:cs="Cordia New"/>
          <w:sz w:val="28"/>
          <w:cs/>
        </w:rPr>
        <w:t xml:space="preserve">โดยมองว่าเศรษฐกิจไทยมีแนวโน้มฟื้นตัวต่อเนื่องจากภาคการท่องเที่ยวและการบริโภคภาคเอกชนที่เป็นแรงส่งสำคัญ อย่างไรก็ตามแม้ว่าการชะลอตัวของเศรษฐกิจโลกมีแนวโน้มส่งผลกระทบต่อภาคการส่งออก แต่เศรษฐกิจโดยรวมยังฟื้นตัวได้ใกล้เคียงเดิม ด้านอัตราเงินเฟ้อทั่วไปในปี </w:t>
      </w:r>
      <w:r w:rsidRPr="00E52B54">
        <w:rPr>
          <w:rFonts w:ascii="Cordia New" w:hAnsi="Cordia New" w:cs="Cordia New"/>
          <w:sz w:val="28"/>
        </w:rPr>
        <w:t>2566</w:t>
      </w:r>
      <w:r w:rsidRPr="00E52B54">
        <w:rPr>
          <w:rFonts w:ascii="Cordia New" w:hAnsi="Cordia New" w:cs="Cordia New"/>
          <w:sz w:val="28"/>
          <w:cs/>
        </w:rPr>
        <w:t xml:space="preserve"> อาจสูงกว่าประมาณการเดิมจากการปรับเพิ่มขึ้นค่าไฟฟ้าเป็นสำคัญ </w:t>
      </w:r>
    </w:p>
    <w:p w14:paraId="1A8495FC" w14:textId="77777777" w:rsidR="00E52B54" w:rsidRPr="00E52B54" w:rsidRDefault="00E52B54" w:rsidP="00E52B54">
      <w:pPr>
        <w:pStyle w:val="ListParagraph"/>
        <w:numPr>
          <w:ilvl w:val="0"/>
          <w:numId w:val="1"/>
        </w:numPr>
        <w:rPr>
          <w:rFonts w:ascii="Cordia New" w:hAnsi="Cordia New" w:cs="Cordia New"/>
          <w:sz w:val="28"/>
          <w:cs/>
        </w:rPr>
      </w:pPr>
      <w:r w:rsidRPr="00E52B54">
        <w:rPr>
          <w:rFonts w:ascii="Cordia New" w:hAnsi="Cordia New" w:cs="Cordia New"/>
          <w:b/>
          <w:bCs/>
          <w:sz w:val="28"/>
        </w:rPr>
        <w:t>Krungthai</w:t>
      </w:r>
      <w:r w:rsidRPr="00E52B54">
        <w:rPr>
          <w:rFonts w:ascii="Cordia New" w:hAnsi="Cordia New" w:cs="Cordia New"/>
          <w:b/>
          <w:bCs/>
          <w:sz w:val="28"/>
          <w:cs/>
        </w:rPr>
        <w:t xml:space="preserve"> </w:t>
      </w:r>
      <w:r w:rsidRPr="00E52B54">
        <w:rPr>
          <w:rFonts w:ascii="Cordia New" w:hAnsi="Cordia New" w:cs="Cordia New"/>
          <w:b/>
          <w:bCs/>
          <w:sz w:val="28"/>
        </w:rPr>
        <w:t>COMPASS</w:t>
      </w:r>
      <w:r w:rsidRPr="00E52B54">
        <w:rPr>
          <w:rFonts w:ascii="Cordia New" w:hAnsi="Cordia New" w:cs="Cordia New"/>
          <w:b/>
          <w:bCs/>
          <w:sz w:val="28"/>
          <w:cs/>
        </w:rPr>
        <w:t xml:space="preserve"> คาดว่า กนง. จะปรับขึ้นดอกเบี้ยต่อเนื่องในช่วงครึ่งแรกของปี </w:t>
      </w:r>
      <w:r w:rsidRPr="00E52B54">
        <w:rPr>
          <w:rFonts w:ascii="Cordia New" w:hAnsi="Cordia New" w:cs="Cordia New"/>
          <w:b/>
          <w:bCs/>
          <w:sz w:val="28"/>
        </w:rPr>
        <w:t>2566</w:t>
      </w:r>
      <w:r w:rsidRPr="00E52B54">
        <w:rPr>
          <w:rFonts w:ascii="Cordia New" w:hAnsi="Cordia New" w:cs="Cordia New"/>
          <w:b/>
          <w:bCs/>
          <w:sz w:val="28"/>
          <w:cs/>
        </w:rPr>
        <w:t xml:space="preserve"> </w:t>
      </w:r>
      <w:r w:rsidRPr="00E52B54">
        <w:rPr>
          <w:rFonts w:ascii="Cordia New" w:hAnsi="Cordia New" w:cs="Cordia New"/>
          <w:sz w:val="28"/>
          <w:cs/>
        </w:rPr>
        <w:t xml:space="preserve">จากอัตราเงินเฟ้อทั่วไปปี </w:t>
      </w:r>
      <w:r w:rsidRPr="00E52B54">
        <w:rPr>
          <w:rFonts w:ascii="Cordia New" w:hAnsi="Cordia New" w:cs="Cordia New"/>
          <w:sz w:val="28"/>
        </w:rPr>
        <w:t>2566</w:t>
      </w:r>
      <w:r w:rsidRPr="00E52B54">
        <w:rPr>
          <w:rFonts w:ascii="Cordia New" w:hAnsi="Cordia New" w:cs="Cordia New"/>
          <w:sz w:val="28"/>
          <w:cs/>
        </w:rPr>
        <w:t xml:space="preserve"> ที่ปรับเพิ่มขึ้นเป็นร้อยละ </w:t>
      </w:r>
      <w:r w:rsidRPr="00E52B54">
        <w:rPr>
          <w:rFonts w:ascii="Cordia New" w:hAnsi="Cordia New" w:cs="Cordia New"/>
          <w:sz w:val="28"/>
        </w:rPr>
        <w:t>3.0</w:t>
      </w:r>
      <w:r w:rsidRPr="00E52B54">
        <w:rPr>
          <w:rFonts w:ascii="Cordia New" w:hAnsi="Cordia New" w:cs="Cordia New"/>
          <w:sz w:val="28"/>
          <w:cs/>
        </w:rPr>
        <w:t xml:space="preserve"> แตะระดับขอบบนของกรอบเป้าหมาย โดยในช่วงครึ่งแรกของปี </w:t>
      </w:r>
      <w:r w:rsidRPr="00E52B54">
        <w:rPr>
          <w:rFonts w:ascii="Cordia New" w:hAnsi="Cordia New" w:cs="Cordia New"/>
          <w:sz w:val="28"/>
        </w:rPr>
        <w:t>2566</w:t>
      </w:r>
      <w:r w:rsidRPr="00E52B54">
        <w:rPr>
          <w:rFonts w:ascii="Cordia New" w:hAnsi="Cordia New" w:cs="Cordia New"/>
          <w:sz w:val="28"/>
          <w:cs/>
        </w:rPr>
        <w:t xml:space="preserve"> อัตราเงินเฟ้อมีแนวโน้มสูงกว่ากรอบเป้าหมาย จึงเป็นปัจจัยสำคัญที่ กนง. อาจพิจารณาทยอยปรับขึ้นดอกเบี้ยอย่างค่อยเป็นค่อยไป และคาดว่าอัตราดอกเบี้ยนโยบายอาจขึ้นไปแตะระดับ 2.00% ในปี 2566</w:t>
      </w:r>
    </w:p>
    <w:p w14:paraId="47C97A71" w14:textId="3F6F5F64" w:rsidR="001634A5" w:rsidRDefault="001634A5" w:rsidP="001634A5">
      <w:pPr>
        <w:pStyle w:val="ListParagraph"/>
        <w:rPr>
          <w:rFonts w:ascii="Cordia New" w:hAnsi="Cordia New" w:cs="Cordia New"/>
          <w:sz w:val="28"/>
        </w:rPr>
      </w:pPr>
    </w:p>
    <w:p w14:paraId="2EAB6708" w14:textId="77777777" w:rsidR="00E52B54" w:rsidRPr="002B3211" w:rsidRDefault="00E52B54" w:rsidP="001634A5">
      <w:pPr>
        <w:pStyle w:val="ListParagraph"/>
        <w:rPr>
          <w:rFonts w:ascii="Cordia New" w:hAnsi="Cordia New" w:cs="Cordia New" w:hint="cs"/>
          <w:sz w:val="28"/>
        </w:rPr>
      </w:pPr>
    </w:p>
    <w:p w14:paraId="7D07F02B" w14:textId="77777777" w:rsidR="00D83101" w:rsidRDefault="00D83101" w:rsidP="008301AA">
      <w:pPr>
        <w:pStyle w:val="ListParagraph"/>
        <w:ind w:firstLine="720"/>
        <w:jc w:val="right"/>
        <w:rPr>
          <w:rFonts w:ascii="Cordia New" w:hAnsi="Cordia New" w:cs="Cordia New"/>
          <w:b/>
          <w:bCs/>
          <w:sz w:val="28"/>
          <w:szCs w:val="28"/>
        </w:rPr>
      </w:pPr>
      <w:r w:rsidRPr="00D83101">
        <w:rPr>
          <w:rFonts w:ascii="Cordia New" w:hAnsi="Cordia New" w:cs="Cordia New"/>
          <w:b/>
          <w:bCs/>
          <w:sz w:val="28"/>
          <w:szCs w:val="28"/>
          <w:cs/>
        </w:rPr>
        <w:t>ฉมาดนัย มากนวล</w:t>
      </w:r>
    </w:p>
    <w:p w14:paraId="444F75A1" w14:textId="7660DCEA" w:rsidR="00D63A3F" w:rsidRDefault="00D63A3F" w:rsidP="008301AA">
      <w:pPr>
        <w:pStyle w:val="ListParagraph"/>
        <w:ind w:firstLine="720"/>
        <w:jc w:val="right"/>
        <w:rPr>
          <w:rFonts w:ascii="Cordia New" w:hAnsi="Cordia New" w:cs="Cordia New"/>
          <w:b/>
          <w:bCs/>
          <w:sz w:val="28"/>
          <w:szCs w:val="28"/>
        </w:rPr>
      </w:pPr>
      <w:r w:rsidRPr="00D63A3F">
        <w:rPr>
          <w:rFonts w:ascii="Cordia New" w:hAnsi="Cordia New" w:cs="Cordia New"/>
          <w:b/>
          <w:bCs/>
          <w:sz w:val="28"/>
          <w:szCs w:val="28"/>
          <w:cs/>
        </w:rPr>
        <w:t>ชนม์นิธิศ ไชยสิงห์ทอง</w:t>
      </w:r>
    </w:p>
    <w:p w14:paraId="200926A7" w14:textId="29ABF129" w:rsidR="001439F5" w:rsidRDefault="00AE435F" w:rsidP="008301AA">
      <w:pPr>
        <w:pStyle w:val="ListParagraph"/>
        <w:ind w:firstLine="720"/>
        <w:jc w:val="right"/>
        <w:rPr>
          <w:rFonts w:ascii="Cordia New" w:hAnsi="Cordia New" w:cs="Cordia New"/>
          <w:b/>
          <w:bCs/>
          <w:sz w:val="28"/>
          <w:szCs w:val="28"/>
        </w:rPr>
        <w:sectPr w:rsidR="001439F5" w:rsidSect="00CC4422">
          <w:pgSz w:w="12240" w:h="15840"/>
          <w:pgMar w:top="1440" w:right="1440" w:bottom="851" w:left="1440" w:header="720" w:footer="720" w:gutter="0"/>
          <w:cols w:space="720"/>
          <w:docGrid w:linePitch="360"/>
        </w:sectPr>
      </w:pPr>
      <w:r w:rsidRPr="002B3211">
        <w:rPr>
          <w:rFonts w:ascii="Cordia New" w:hAnsi="Cordia New" w:cs="Cordia New"/>
          <w:b/>
          <w:bCs/>
          <w:sz w:val="28"/>
          <w:szCs w:val="28"/>
        </w:rPr>
        <w:t>Krungthai COMPASS</w:t>
      </w:r>
    </w:p>
    <w:p w14:paraId="57F4C489" w14:textId="08446C3C" w:rsidR="00603004" w:rsidRDefault="00E52B54" w:rsidP="00603004">
      <w:pPr>
        <w:spacing w:line="360" w:lineRule="exact"/>
        <w:jc w:val="thaiDistribute"/>
        <w:rPr>
          <w:rFonts w:ascii="Cordia New" w:eastAsiaTheme="minorEastAsia" w:hAnsi="Cordia New" w:cs="Cordia New"/>
          <w:b/>
          <w:bCs/>
          <w:color w:val="000000" w:themeColor="text1"/>
          <w:kern w:val="24"/>
          <w:sz w:val="28"/>
        </w:rPr>
      </w:pPr>
      <w:r w:rsidRPr="00E52B54">
        <w:rPr>
          <w:rFonts w:ascii="Cordia New" w:eastAsiaTheme="minorEastAsia" w:hAnsi="Cordia New" w:cs="Cordia New"/>
          <w:b/>
          <w:bCs/>
          <w:color w:val="000000" w:themeColor="text1"/>
          <w:kern w:val="24"/>
          <w:sz w:val="28"/>
          <w:cs/>
        </w:rPr>
        <w:lastRenderedPageBreak/>
        <w:t>กนง. มีมติเป็นเอกฉันท์ปรับขึ้นอัตราดอกเบี้ยนโยบายที่ร้อยละ 0.25 ต่อปี  จากร้อยละ 1.00 ต่อปี เป็นร้อยละ 1.25 ต่อปี</w:t>
      </w:r>
    </w:p>
    <w:p w14:paraId="43F8F9A3" w14:textId="77777777" w:rsidR="00E52B54" w:rsidRPr="00E52B54" w:rsidRDefault="00E52B54" w:rsidP="00603004">
      <w:pPr>
        <w:spacing w:line="360" w:lineRule="exact"/>
        <w:jc w:val="thaiDistribute"/>
        <w:rPr>
          <w:rFonts w:ascii="Cordia New" w:eastAsiaTheme="minorEastAsia" w:hAnsi="Cordia New" w:cs="Cordia New"/>
          <w:b/>
          <w:bCs/>
          <w:color w:val="000000" w:themeColor="text1"/>
          <w:kern w:val="24"/>
          <w:sz w:val="28"/>
        </w:rPr>
      </w:pPr>
    </w:p>
    <w:p w14:paraId="26E722B1" w14:textId="77777777" w:rsidR="00E52B54" w:rsidRPr="00E52B54" w:rsidRDefault="00E52B54" w:rsidP="00E52B54">
      <w:pPr>
        <w:spacing w:line="360" w:lineRule="exact"/>
        <w:jc w:val="thaiDistribute"/>
        <w:rPr>
          <w:rFonts w:ascii="Cordia New" w:eastAsiaTheme="minorEastAsia" w:hAnsi="Cordia New" w:cs="Cordia New"/>
          <w:color w:val="000000" w:themeColor="text1"/>
          <w:kern w:val="24"/>
          <w:sz w:val="28"/>
        </w:rPr>
      </w:pPr>
      <w:r w:rsidRPr="00E52B54">
        <w:rPr>
          <w:rFonts w:ascii="Cordia New" w:eastAsiaTheme="minorEastAsia" w:hAnsi="Cordia New" w:cs="Cordia New"/>
          <w:b/>
          <w:bCs/>
          <w:color w:val="000000" w:themeColor="text1"/>
          <w:kern w:val="24"/>
          <w:sz w:val="28"/>
          <w:cs/>
        </w:rPr>
        <w:t xml:space="preserve">กนง. มีมติเป็นเอกฉันท์ในการประชุมครั้งที่ </w:t>
      </w:r>
      <w:r w:rsidRPr="00E52B54">
        <w:rPr>
          <w:rFonts w:ascii="Cordia New" w:eastAsiaTheme="minorEastAsia" w:hAnsi="Cordia New" w:cs="Cordia New"/>
          <w:b/>
          <w:bCs/>
          <w:color w:val="000000" w:themeColor="text1"/>
          <w:kern w:val="24"/>
          <w:sz w:val="28"/>
        </w:rPr>
        <w:t>6</w:t>
      </w:r>
      <w:r w:rsidRPr="00E52B54">
        <w:rPr>
          <w:rFonts w:ascii="Cordia New" w:eastAsiaTheme="minorEastAsia" w:hAnsi="Cordia New" w:cs="Cordia New"/>
          <w:b/>
          <w:bCs/>
          <w:color w:val="000000" w:themeColor="text1"/>
          <w:kern w:val="24"/>
          <w:sz w:val="28"/>
          <w:cs/>
        </w:rPr>
        <w:t>/2565 (ครั้งสุดท้ายของปี) ให้ปรับขึ้นอัตราดอกเบี้ยนโยบายร้อยละ 0.25 ต่อปี สู่ระดับร้อยละ 1.</w:t>
      </w:r>
      <w:r w:rsidRPr="00E52B54">
        <w:rPr>
          <w:rFonts w:ascii="Cordia New" w:eastAsiaTheme="minorEastAsia" w:hAnsi="Cordia New" w:cs="Cordia New"/>
          <w:b/>
          <w:bCs/>
          <w:color w:val="000000" w:themeColor="text1"/>
          <w:kern w:val="24"/>
          <w:sz w:val="28"/>
        </w:rPr>
        <w:t>25</w:t>
      </w:r>
      <w:r w:rsidRPr="00E52B54">
        <w:rPr>
          <w:rFonts w:ascii="Cordia New" w:eastAsiaTheme="minorEastAsia" w:hAnsi="Cordia New" w:cs="Cordia New"/>
          <w:b/>
          <w:bCs/>
          <w:color w:val="000000" w:themeColor="text1"/>
          <w:kern w:val="24"/>
          <w:sz w:val="28"/>
          <w:cs/>
        </w:rPr>
        <w:t xml:space="preserve"> ต่อปี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โดยปรับอัตราดอกเบี้ยขึ้นต่อเนื่องเป็นครั้งที่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3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 (รวมทั้งสิ้น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75 bps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 ในปีนี้) ซึ่งมีสาระสำคัญดังนี้ </w:t>
      </w:r>
    </w:p>
    <w:p w14:paraId="0C2AB7BF" w14:textId="77777777" w:rsidR="00E52B54" w:rsidRPr="00E52B54" w:rsidRDefault="00E52B54" w:rsidP="00E52B54">
      <w:pPr>
        <w:numPr>
          <w:ilvl w:val="0"/>
          <w:numId w:val="6"/>
        </w:numPr>
        <w:spacing w:line="360" w:lineRule="exact"/>
        <w:jc w:val="thaiDistribute"/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</w:pPr>
      <w:r w:rsidRPr="00E52B54">
        <w:rPr>
          <w:rFonts w:ascii="Cordia New" w:eastAsiaTheme="minorEastAsia" w:hAnsi="Cordia New" w:cs="Cordia New"/>
          <w:b/>
          <w:bCs/>
          <w:color w:val="000000" w:themeColor="text1"/>
          <w:kern w:val="24"/>
          <w:sz w:val="28"/>
          <w:cs/>
        </w:rPr>
        <w:t xml:space="preserve">เศรษฐกิจไทยมีแนวโน้มฟื้นตัวต่อเนื่องจากภาคการท่องเที่ยวและการบริโภคภาคเอกชนที่เป็นแรงส่งสำคัญ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โดยภาคการท่องเที่ยวฟื้นตัวชัดเจนตามจำนวนนักท่องเที่ยวต่างชาติที่เพิ่มขึ้นต่อเนื่อง และการบริโภคภาคเอกชนซึ่งปรับดีขึ้นจากปัจจัยสนับสนุนด้านกิจกรรมทางเศรษฐกิจ การจ้างงานและรายได้แรงงานที่สูงขึ้นและกระจายทั่วถึงมากขึ้น แม้ว่าเศรษฐกิจโลกที่มีแนวโน้มชะลอตัวส่งผลกระทบต่อภาคการส่งออกให้ขยายตัวชะลอลง แต่เศรษฐกิจโดยรวมยังฟื้นตัวได้ใกล้เคียงเดิม ทั้งนี้ กนง. ได้ปรับลดประมาณการเศรษฐกิจในปี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2565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 และ ปี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2566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 เป็นร้อยละ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3.2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 (จากร้อยละ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3.3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) และ ร้อยละ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3.7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 (จากร้อยละ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3.8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) ตามลำดับ ขณะที่คาดการณ์เศรษฐกิจปี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2567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 ขยายตัวที่ร้อยละ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3.9</w:t>
      </w:r>
    </w:p>
    <w:p w14:paraId="5DD7CCE3" w14:textId="77777777" w:rsidR="00E52B54" w:rsidRPr="00E52B54" w:rsidRDefault="00E52B54" w:rsidP="00E52B54">
      <w:pPr>
        <w:numPr>
          <w:ilvl w:val="0"/>
          <w:numId w:val="6"/>
        </w:numPr>
        <w:spacing w:line="360" w:lineRule="exact"/>
        <w:jc w:val="thaiDistribute"/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</w:pPr>
      <w:r w:rsidRPr="00E52B54">
        <w:rPr>
          <w:rFonts w:ascii="Cordia New" w:eastAsiaTheme="minorEastAsia" w:hAnsi="Cordia New" w:cs="Cordia New"/>
          <w:b/>
          <w:bCs/>
          <w:color w:val="000000" w:themeColor="text1"/>
          <w:kern w:val="24"/>
          <w:sz w:val="28"/>
          <w:cs/>
        </w:rPr>
        <w:t xml:space="preserve">อัตราเงินเฟ้อทั่วไปในปี </w:t>
      </w:r>
      <w:r w:rsidRPr="00E52B54">
        <w:rPr>
          <w:rFonts w:ascii="Cordia New" w:eastAsiaTheme="minorEastAsia" w:hAnsi="Cordia New" w:cs="Cordia New"/>
          <w:b/>
          <w:bCs/>
          <w:color w:val="000000" w:themeColor="text1"/>
          <w:kern w:val="24"/>
          <w:sz w:val="28"/>
        </w:rPr>
        <w:t>2566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 </w:t>
      </w:r>
      <w:r w:rsidRPr="00E52B54">
        <w:rPr>
          <w:rFonts w:ascii="Cordia New" w:eastAsiaTheme="minorEastAsia" w:hAnsi="Cordia New" w:cs="Cordia New"/>
          <w:b/>
          <w:bCs/>
          <w:color w:val="000000" w:themeColor="text1"/>
          <w:kern w:val="24"/>
          <w:sz w:val="28"/>
          <w:cs/>
        </w:rPr>
        <w:t xml:space="preserve">มีแนวโน้มสูงกว่าประมาณการเดิม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คาดว่าอัตราเงินเฟ้อทั่วไปปี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 xml:space="preserve">2565 2566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และ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2567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 จะอยู่ที่ร้อยละ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6.3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3.0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 และ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2.1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 ตามลำดับ ทั้งนี้อัตราเงินเฟ้อทั่วไปปี 2566 คาดว่าสูงกว่าประมาณการเดิมที่ร้อยละ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2.6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 จากการปรับเพิ่มขึ้นค่าไฟฟ้าเป็นสำคัญ ขณะที่อัตราเฟ้อพื้นฐานมีแนวโน้มทยอยลดลงต่อเนื่องโดยในปี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 xml:space="preserve">2565 2566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และ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 xml:space="preserve">2567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อยู่ที่ร้อยละ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 xml:space="preserve">2.6 2.5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และ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 xml:space="preserve">2.0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>ตามลำดับ ส่วนอัตราเงินเฟ้อคาดการณ์ในระยะปานกลางยังยึดเหนี่ยวอยู่ในกรอบเป้าหมาย</w:t>
      </w:r>
    </w:p>
    <w:p w14:paraId="3ADC0AA4" w14:textId="77777777" w:rsidR="00E52B54" w:rsidRPr="00E52B54" w:rsidRDefault="00E52B54" w:rsidP="00E52B54">
      <w:pPr>
        <w:numPr>
          <w:ilvl w:val="0"/>
          <w:numId w:val="6"/>
        </w:numPr>
        <w:spacing w:line="360" w:lineRule="exact"/>
        <w:jc w:val="thaiDistribute"/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</w:pPr>
      <w:r w:rsidRPr="00E52B54">
        <w:rPr>
          <w:rFonts w:ascii="Cordia New" w:eastAsiaTheme="minorEastAsia" w:hAnsi="Cordia New" w:cs="Cordia New"/>
          <w:b/>
          <w:bCs/>
          <w:color w:val="000000" w:themeColor="text1"/>
          <w:kern w:val="24"/>
          <w:sz w:val="28"/>
          <w:cs/>
        </w:rPr>
        <w:t xml:space="preserve">มาตรการปรับโครงสร้างหนี้ควรดำเนินการอย่างต่อเนื่อง รวมทั้งเห็นความสำคัญของการมีมาตรการเฉพาะจุดและแนวทางแก้ปัญหาหนี้อย่างยั่งยืนสำหรับกลุ่มเปราะบาง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โดยฐานะการเงินของผู้ประกอบการ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SMEs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 และครัวเรือนบางส่วนยังเปราะบางจากรายได้ที่ฟื้นตัวไม่เต็มที่ ซึ่งอาจได้รับผลกระทบจากค่าครองชีพและภาระหนี้ที่สูงขึ้น ขณะที่ธนาคารพาณิชย์มีระดับเงินกองทุนและเงินสำรองที่เข้มแข็ง </w:t>
      </w:r>
    </w:p>
    <w:p w14:paraId="2690F7D1" w14:textId="418DB2C3" w:rsidR="00E52B54" w:rsidRDefault="00E52B54" w:rsidP="00E52B54">
      <w:pPr>
        <w:numPr>
          <w:ilvl w:val="0"/>
          <w:numId w:val="6"/>
        </w:numPr>
        <w:spacing w:line="360" w:lineRule="exact"/>
        <w:jc w:val="thaiDistribute"/>
        <w:rPr>
          <w:rFonts w:ascii="Cordia New" w:eastAsiaTheme="minorEastAsia" w:hAnsi="Cordia New" w:cs="Cordia New"/>
          <w:color w:val="000000" w:themeColor="text1"/>
          <w:kern w:val="24"/>
          <w:sz w:val="28"/>
        </w:rPr>
      </w:pPr>
      <w:r w:rsidRPr="00E52B54">
        <w:rPr>
          <w:rFonts w:ascii="Cordia New" w:eastAsiaTheme="minorEastAsia" w:hAnsi="Cordia New" w:cs="Cordia New"/>
          <w:b/>
          <w:bCs/>
          <w:color w:val="000000" w:themeColor="text1"/>
          <w:kern w:val="24"/>
          <w:sz w:val="28"/>
          <w:cs/>
        </w:rPr>
        <w:t xml:space="preserve">ภาวะการเงินโดยรวมยังผ่อนคลาย ต้นทุนการกู้ยืมของภาคเอกชนทยอยปรับสูงขึ้นสอดคล้องกับอัตราดอกเบี้ยนโยบาย แต่โดยรวมยังเอื้อต่อการระดมทุน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>ปริมาณสินเชื่อและการระดมทุนในตลาดตราสารหนี้ยังขยายตัว ขณะที่อัตราแลกเปลี่ยนเงินบาทเทียบ ดอลลาร์ สรอ. เคลื่อนไหวผันผวนสูงจากการดำเนินนโยบายการเงินของประเทศเศรษฐกิจหลักเป็นสำคัญ</w:t>
      </w:r>
      <w:r w:rsidRPr="00E52B54">
        <w:rPr>
          <w:rFonts w:ascii="Cordia New" w:eastAsiaTheme="minorEastAsia" w:hAnsi="Cordia New" w:cs="Cordia New"/>
          <w:b/>
          <w:bCs/>
          <w:color w:val="000000" w:themeColor="text1"/>
          <w:kern w:val="24"/>
          <w:sz w:val="28"/>
          <w:cs/>
        </w:rPr>
        <w:t xml:space="preserve">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>ทั้งนี้ กนง. ประเมินว่ายังต้องติดตามพัฒนาการในตลาดการเงินและความผันผวนในอัตราแลกเปลี่ยนอย่างใกล้ชิด</w:t>
      </w:r>
    </w:p>
    <w:p w14:paraId="1C4A3F6D" w14:textId="77777777" w:rsidR="00E52B54" w:rsidRDefault="00E52B54" w:rsidP="00E52B54">
      <w:pPr>
        <w:numPr>
          <w:ilvl w:val="0"/>
          <w:numId w:val="6"/>
        </w:numPr>
        <w:spacing w:line="360" w:lineRule="exact"/>
        <w:jc w:val="thaiDistribute"/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sectPr w:rsidR="00E52B54" w:rsidSect="00CC4422">
          <w:pgSz w:w="12240" w:h="15840"/>
          <w:pgMar w:top="1440" w:right="1440" w:bottom="851" w:left="1440" w:header="720" w:footer="720" w:gutter="0"/>
          <w:cols w:space="720"/>
          <w:docGrid w:linePitch="360"/>
        </w:sectPr>
      </w:pPr>
    </w:p>
    <w:p w14:paraId="740FC6CB" w14:textId="4E8F063E" w:rsidR="00E52B54" w:rsidRPr="00E52B54" w:rsidRDefault="00E52B54" w:rsidP="00E52B54">
      <w:pPr>
        <w:spacing w:line="360" w:lineRule="exact"/>
        <w:jc w:val="thaiDistribute"/>
        <w:rPr>
          <w:rFonts w:ascii="Cordia New" w:eastAsiaTheme="minorEastAsia" w:hAnsi="Cordia New" w:cs="Cordia New" w:hint="cs"/>
          <w:color w:val="000000" w:themeColor="text1"/>
          <w:kern w:val="24"/>
          <w:sz w:val="28"/>
          <w:cs/>
        </w:rPr>
      </w:pPr>
      <w:r>
        <w:rPr>
          <w:rFonts w:ascii="Cordia New" w:eastAsiaTheme="minorEastAsia" w:hAnsi="Cordia New" w:cs="Cordia New" w:hint="cs"/>
          <w:noProof/>
          <w:color w:val="000000" w:themeColor="text1"/>
          <w:kern w:val="24"/>
          <w:sz w:val="28"/>
          <w:lang w:val="th-TH"/>
        </w:rPr>
        <w:lastRenderedPageBreak/>
        <w:drawing>
          <wp:anchor distT="0" distB="0" distL="114300" distR="114300" simplePos="0" relativeHeight="251658240" behindDoc="0" locked="0" layoutInCell="1" allowOverlap="1" wp14:anchorId="5FEF5775" wp14:editId="0FE986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27519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7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A3C6F" w14:textId="77777777" w:rsidR="00E52B54" w:rsidRDefault="00E52B54" w:rsidP="00603004">
      <w:pPr>
        <w:spacing w:line="360" w:lineRule="exact"/>
        <w:jc w:val="thaiDistribute"/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sectPr w:rsidR="00E52B54" w:rsidSect="00CC4422">
          <w:pgSz w:w="12240" w:h="15840"/>
          <w:pgMar w:top="1440" w:right="1440" w:bottom="851" w:left="1440" w:header="720" w:footer="720" w:gutter="0"/>
          <w:cols w:space="720"/>
          <w:docGrid w:linePitch="360"/>
        </w:sectPr>
      </w:pPr>
    </w:p>
    <w:p w14:paraId="53453ED8" w14:textId="1F64A8BE" w:rsidR="00E52B54" w:rsidRDefault="00E52B54" w:rsidP="00603004">
      <w:pPr>
        <w:spacing w:line="360" w:lineRule="exact"/>
        <w:jc w:val="thaiDistribute"/>
        <w:rPr>
          <w:rFonts w:ascii="Cordia New" w:eastAsiaTheme="minorEastAsia" w:hAnsi="Cordia New" w:cs="Cordia New"/>
          <w:b/>
          <w:bCs/>
          <w:color w:val="000000" w:themeColor="text1"/>
          <w:kern w:val="24"/>
          <w:sz w:val="28"/>
        </w:rPr>
      </w:pPr>
      <w:r>
        <w:rPr>
          <w:rFonts w:ascii="Cordia New" w:eastAsiaTheme="minorEastAsia" w:hAnsi="Cordia New" w:cs="Cordia New"/>
          <w:b/>
          <w:bCs/>
          <w:color w:val="000000" w:themeColor="text1"/>
          <w:kern w:val="24"/>
          <w:sz w:val="28"/>
        </w:rPr>
        <w:lastRenderedPageBreak/>
        <w:t>Implication:</w:t>
      </w:r>
    </w:p>
    <w:p w14:paraId="1FD09093" w14:textId="41CC9304" w:rsidR="00E52B54" w:rsidRPr="00E52B54" w:rsidRDefault="00E52B54" w:rsidP="00E52B54">
      <w:pPr>
        <w:numPr>
          <w:ilvl w:val="0"/>
          <w:numId w:val="7"/>
        </w:numPr>
        <w:spacing w:line="360" w:lineRule="exact"/>
        <w:jc w:val="thaiDistribute"/>
        <w:rPr>
          <w:rFonts w:ascii="Cordia New" w:eastAsiaTheme="minorEastAsia" w:hAnsi="Cordia New" w:cs="Cordia New"/>
          <w:color w:val="000000" w:themeColor="text1"/>
          <w:kern w:val="24"/>
          <w:sz w:val="28"/>
        </w:rPr>
      </w:pPr>
      <w:r w:rsidRPr="00E52B54">
        <w:rPr>
          <w:rFonts w:ascii="Cordia New" w:eastAsiaTheme="minorEastAsia" w:hAnsi="Cordia New" w:cs="Cordia New"/>
          <w:b/>
          <w:bCs/>
          <w:color w:val="000000" w:themeColor="text1"/>
          <w:kern w:val="24"/>
          <w:sz w:val="28"/>
        </w:rPr>
        <w:t>Krungthai</w:t>
      </w:r>
      <w:r w:rsidRPr="00E52B54">
        <w:rPr>
          <w:rFonts w:ascii="Cordia New" w:eastAsiaTheme="minorEastAsia" w:hAnsi="Cordia New" w:cs="Cordia New"/>
          <w:b/>
          <w:bCs/>
          <w:color w:val="000000" w:themeColor="text1"/>
          <w:kern w:val="24"/>
          <w:sz w:val="28"/>
          <w:cs/>
        </w:rPr>
        <w:t xml:space="preserve"> </w:t>
      </w:r>
      <w:r w:rsidRPr="00E52B54">
        <w:rPr>
          <w:rFonts w:ascii="Cordia New" w:eastAsiaTheme="minorEastAsia" w:hAnsi="Cordia New" w:cs="Cordia New"/>
          <w:b/>
          <w:bCs/>
          <w:color w:val="000000" w:themeColor="text1"/>
          <w:kern w:val="24"/>
          <w:sz w:val="28"/>
        </w:rPr>
        <w:t>COMPASS</w:t>
      </w:r>
      <w:r w:rsidRPr="00E52B54">
        <w:rPr>
          <w:rFonts w:ascii="Cordia New" w:eastAsiaTheme="minorEastAsia" w:hAnsi="Cordia New" w:cs="Cordia New"/>
          <w:b/>
          <w:bCs/>
          <w:color w:val="000000" w:themeColor="text1"/>
          <w:kern w:val="24"/>
          <w:sz w:val="28"/>
          <w:cs/>
        </w:rPr>
        <w:t xml:space="preserve"> คาดว่า กนง. จะปรับขึ้นดอกเบี้ยต่อเนื่องในช่วงครึ่งแรกของปี </w:t>
      </w:r>
      <w:r w:rsidRPr="00E52B54">
        <w:rPr>
          <w:rFonts w:ascii="Cordia New" w:eastAsiaTheme="minorEastAsia" w:hAnsi="Cordia New" w:cs="Cordia New"/>
          <w:b/>
          <w:bCs/>
          <w:color w:val="000000" w:themeColor="text1"/>
          <w:kern w:val="24"/>
          <w:sz w:val="28"/>
        </w:rPr>
        <w:t>2566</w:t>
      </w:r>
      <w:r w:rsidRPr="00E52B54">
        <w:rPr>
          <w:rFonts w:ascii="Cordia New" w:eastAsiaTheme="minorEastAsia" w:hAnsi="Cordia New" w:cs="Cordia New"/>
          <w:b/>
          <w:bCs/>
          <w:color w:val="000000" w:themeColor="text1"/>
          <w:kern w:val="24"/>
          <w:sz w:val="28"/>
          <w:cs/>
        </w:rPr>
        <w:t xml:space="preserve">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กนง. ได้ปรับเพิ่มคาดการณ์อัตราเงินเฟ้อทั่วไปปี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2566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 เป็นร้อยละ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3.0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 (จากเดิมร้อยละ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2.6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) แตะระดับขอบบนของกรอบเป้าหมายเงินเฟ้อที่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1-3%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 จากแนวโน้มการปรับเพิ่มขึ้นของค่าไฟฟ้าเป็นสำคัญ โดยในช่วงครึ่งแรกของปี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2566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 อัตราเงินเฟ้อมีแนวโน้มสูงกว่ากรอบเป้าหมาย และคาดว่าจะปรับลงเข้าสู่กรอบเป้าหมายในช่วงไตรมาสที่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3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 ปี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 xml:space="preserve">2566 Krungthai COMPASS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>ประเมินว่า ปัจจัยดังกล่าวจะหนุนการปรับขึ้นอัตราดอกเบี้ยของ ธปท. ต่อไป โดยคาดว่าอัตราดอกเบี้ยนโยบายอาจขึ้นไปแตะระดับ 2.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00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% ในปี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 xml:space="preserve">2566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ทั้งนี้ กนง. อาจพิจารณาปรับขึ้นดอกเบี้ยอย่างค่อยเป็นค่อยไปในช่วงครึ่งแรกของปี สะท้อนจากมุมมองของ กนง. ที่ประเมินว่า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“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>การทยอยปรับขึ้นอัตราดอกเบี้ยนโยบายเป็นการดำเนินนโยบายที่สอดคล้องกับทิศทางการฟื้นตัวของเศรษฐกิจและแนวโน้มเงินเฟ้อ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”</w:t>
      </w:r>
    </w:p>
    <w:p w14:paraId="1F471299" w14:textId="094AA185" w:rsidR="00E52B54" w:rsidRPr="00E52B54" w:rsidRDefault="00E52B54" w:rsidP="00E52B54">
      <w:pPr>
        <w:numPr>
          <w:ilvl w:val="0"/>
          <w:numId w:val="7"/>
        </w:numPr>
        <w:spacing w:line="360" w:lineRule="exact"/>
        <w:jc w:val="thaiDistribute"/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</w:pPr>
      <w:r w:rsidRPr="00E52B54">
        <w:rPr>
          <w:rFonts w:ascii="Cordia New" w:eastAsiaTheme="minorEastAsia" w:hAnsi="Cordia New" w:cs="Cordia New"/>
          <w:b/>
          <w:bCs/>
          <w:color w:val="000000" w:themeColor="text1"/>
          <w:kern w:val="24"/>
          <w:sz w:val="28"/>
          <w:cs/>
        </w:rPr>
        <w:t xml:space="preserve">ภาพรวมเศรษฐกิจไทยมีแนวโน้มฟื้นตัวต่อเนื่อง แม้ว่าจะได้รับผลกระทบจากเศรษฐกิจโลกที่ชะลอตัวผ่านการส่งออกเป็นสำคัญ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โดยการบริโภคภาคเอกชนและภาคการท่องเที่ยวมีแนวโน้มฟื้นตัวต่อเนื่อง บ่งชี้จากการปรับเพิ่มประมาณการของ กนง. ในปี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2566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 ที่คาดว่าการบริโภคภาคเอกชนจะขยายตัวได้ที่ร้อยละ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3.4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 (จากเดิมร้อยละ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3.3)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 และจำนวนนักท่องเที่ยวต่างชาติเพิ่มขึ้นเป็น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22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 ล้านคน (จากเดิม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21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 ล้านคน) สอดคล้องกับมุมมองของ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Krungthai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COMPASS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 ที่คาดว่าจำนวนนักท่องเที่ยวต่างชาติจะแตะระดับ 21.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4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 ล้านคน ในปี 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</w:rPr>
        <w:t>2566</w:t>
      </w:r>
      <w:r w:rsidRPr="00E52B54">
        <w:rPr>
          <w:rFonts w:ascii="Cordia New" w:eastAsiaTheme="minorEastAsia" w:hAnsi="Cordia New" w:cs="Cordia New"/>
          <w:color w:val="000000" w:themeColor="text1"/>
          <w:kern w:val="24"/>
          <w:sz w:val="28"/>
          <w:cs/>
        </w:rPr>
        <w:t xml:space="preserve"> ซึ่งจะเป็นปัจจัยสนับสนุนต่อการฟื้นตัวของเศรษฐกิจไทยและการจับจ่ายใช้สอยภายในประเทศ อย่างไรก็ตาม ยังต้องจับตาความเสี่ยงของเศรษฐกิจโลกที่ชะลอตัวอาจส่งผลกระทบต่อภาคการส่งออกมากกว่าที่คาด</w:t>
      </w:r>
    </w:p>
    <w:p w14:paraId="73AA5637" w14:textId="0F230F0F" w:rsidR="00E52B54" w:rsidRPr="00E52B54" w:rsidRDefault="00E52B54" w:rsidP="00603004">
      <w:pPr>
        <w:spacing w:line="360" w:lineRule="exact"/>
        <w:jc w:val="thaiDistribute"/>
        <w:rPr>
          <w:rFonts w:ascii="Cordia New" w:eastAsiaTheme="minorEastAsia" w:hAnsi="Cordia New" w:cs="Cordia New" w:hint="cs"/>
          <w:color w:val="000000" w:themeColor="text1"/>
          <w:kern w:val="24"/>
          <w:sz w:val="28"/>
          <w:cs/>
        </w:rPr>
      </w:pPr>
      <w:r>
        <w:rPr>
          <w:rFonts w:ascii="Cordia New" w:eastAsiaTheme="minorEastAsia" w:hAnsi="Cordia New" w:cs="Cordia New" w:hint="cs"/>
          <w:noProof/>
          <w:color w:val="000000" w:themeColor="text1"/>
          <w:kern w:val="24"/>
          <w:sz w:val="28"/>
          <w:lang w:val="th-TH"/>
        </w:rPr>
        <w:drawing>
          <wp:anchor distT="0" distB="0" distL="114300" distR="114300" simplePos="0" relativeHeight="251659264" behindDoc="0" locked="0" layoutInCell="1" allowOverlap="1" wp14:anchorId="44FAE0FD" wp14:editId="3348CEA9">
            <wp:simplePos x="0" y="0"/>
            <wp:positionH relativeFrom="column">
              <wp:posOffset>1005840</wp:posOffset>
            </wp:positionH>
            <wp:positionV relativeFrom="paragraph">
              <wp:posOffset>144780</wp:posOffset>
            </wp:positionV>
            <wp:extent cx="4895088" cy="3462528"/>
            <wp:effectExtent l="0" t="0" r="127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088" cy="3462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2B54" w:rsidRPr="00E52B54" w:rsidSect="00CC4422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D249F" w14:textId="77777777" w:rsidR="003E35D6" w:rsidRDefault="003E35D6" w:rsidP="00DE657B">
      <w:pPr>
        <w:spacing w:after="0" w:line="240" w:lineRule="auto"/>
      </w:pPr>
      <w:r>
        <w:separator/>
      </w:r>
    </w:p>
  </w:endnote>
  <w:endnote w:type="continuationSeparator" w:id="0">
    <w:p w14:paraId="593059B1" w14:textId="77777777" w:rsidR="003E35D6" w:rsidRDefault="003E35D6" w:rsidP="00DE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2292" w14:textId="77777777" w:rsidR="003E35D6" w:rsidRDefault="003E35D6" w:rsidP="00DE657B">
      <w:pPr>
        <w:spacing w:after="0" w:line="240" w:lineRule="auto"/>
      </w:pPr>
      <w:r>
        <w:separator/>
      </w:r>
    </w:p>
  </w:footnote>
  <w:footnote w:type="continuationSeparator" w:id="0">
    <w:p w14:paraId="6E5BA3CC" w14:textId="77777777" w:rsidR="003E35D6" w:rsidRDefault="003E35D6" w:rsidP="00DE6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749E"/>
    <w:multiLevelType w:val="hybridMultilevel"/>
    <w:tmpl w:val="4176C940"/>
    <w:lvl w:ilvl="0" w:tplc="3ECA5CF2">
      <w:start w:val="1"/>
      <w:numFmt w:val="bullet"/>
      <w:lvlText w:val="=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0CE334" w:tentative="1">
      <w:start w:val="1"/>
      <w:numFmt w:val="bullet"/>
      <w:lvlText w:val="=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7800620" w:tentative="1">
      <w:start w:val="1"/>
      <w:numFmt w:val="bullet"/>
      <w:lvlText w:val="=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352EBDC" w:tentative="1">
      <w:start w:val="1"/>
      <w:numFmt w:val="bullet"/>
      <w:lvlText w:val="=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41CC3DE" w:tentative="1">
      <w:start w:val="1"/>
      <w:numFmt w:val="bullet"/>
      <w:lvlText w:val="=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31669D4" w:tentative="1">
      <w:start w:val="1"/>
      <w:numFmt w:val="bullet"/>
      <w:lvlText w:val="=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764F696" w:tentative="1">
      <w:start w:val="1"/>
      <w:numFmt w:val="bullet"/>
      <w:lvlText w:val="=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312A20A" w:tentative="1">
      <w:start w:val="1"/>
      <w:numFmt w:val="bullet"/>
      <w:lvlText w:val="=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A6CDA6A" w:tentative="1">
      <w:start w:val="1"/>
      <w:numFmt w:val="bullet"/>
      <w:lvlText w:val="=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23280023"/>
    <w:multiLevelType w:val="hybridMultilevel"/>
    <w:tmpl w:val="C67AC626"/>
    <w:lvl w:ilvl="0" w:tplc="1D4EB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C24D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9981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D741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C9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448E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73E3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A520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82AC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 w15:restartNumberingAfterBreak="0">
    <w:nsid w:val="354421A9"/>
    <w:multiLevelType w:val="hybridMultilevel"/>
    <w:tmpl w:val="379A5AF0"/>
    <w:lvl w:ilvl="0" w:tplc="0784B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2FEA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4ACF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C0A7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0285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62E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F7E1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1A03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C1A4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38BF23D8"/>
    <w:multiLevelType w:val="hybridMultilevel"/>
    <w:tmpl w:val="9D5C6FC2"/>
    <w:lvl w:ilvl="0" w:tplc="F2507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B78D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21C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2864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C9C6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2187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9183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3225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1347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471E7F02"/>
    <w:multiLevelType w:val="hybridMultilevel"/>
    <w:tmpl w:val="8F58CCC8"/>
    <w:lvl w:ilvl="0" w:tplc="8B7ED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76CF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E52D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EF64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972A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9B82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DDA5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AA0E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9AF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4B833065"/>
    <w:multiLevelType w:val="hybridMultilevel"/>
    <w:tmpl w:val="AB94E252"/>
    <w:lvl w:ilvl="0" w:tplc="F4EA3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2003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C66C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096E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8C81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49A6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70CF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FB6A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76C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 w15:restartNumberingAfterBreak="0">
    <w:nsid w:val="5D4A1824"/>
    <w:multiLevelType w:val="hybridMultilevel"/>
    <w:tmpl w:val="988A5EAE"/>
    <w:lvl w:ilvl="0" w:tplc="C8E0E326">
      <w:start w:val="1"/>
      <w:numFmt w:val="bullet"/>
      <w:lvlText w:val="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00B0F0"/>
      </w:rPr>
    </w:lvl>
    <w:lvl w:ilvl="1" w:tplc="072ED2EA" w:tentative="1">
      <w:start w:val="1"/>
      <w:numFmt w:val="bullet"/>
      <w:lvlText w:val="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E128492C" w:tentative="1">
      <w:start w:val="1"/>
      <w:numFmt w:val="bullet"/>
      <w:lvlText w:val="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B0B80412" w:tentative="1">
      <w:start w:val="1"/>
      <w:numFmt w:val="bullet"/>
      <w:lvlText w:val="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8C20172A" w:tentative="1">
      <w:start w:val="1"/>
      <w:numFmt w:val="bullet"/>
      <w:lvlText w:val="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ED542CD6" w:tentative="1">
      <w:start w:val="1"/>
      <w:numFmt w:val="bullet"/>
      <w:lvlText w:val="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9264700C" w:tentative="1">
      <w:start w:val="1"/>
      <w:numFmt w:val="bullet"/>
      <w:lvlText w:val="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EF6CBBEE" w:tentative="1">
      <w:start w:val="1"/>
      <w:numFmt w:val="bullet"/>
      <w:lvlText w:val="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194CBB4A" w:tentative="1">
      <w:start w:val="1"/>
      <w:numFmt w:val="bullet"/>
      <w:lvlText w:val="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 w16cid:durableId="628244568">
    <w:abstractNumId w:val="6"/>
  </w:num>
  <w:num w:numId="2" w16cid:durableId="1894195119">
    <w:abstractNumId w:val="2"/>
  </w:num>
  <w:num w:numId="3" w16cid:durableId="1164471408">
    <w:abstractNumId w:val="4"/>
  </w:num>
  <w:num w:numId="4" w16cid:durableId="1658536226">
    <w:abstractNumId w:val="0"/>
  </w:num>
  <w:num w:numId="5" w16cid:durableId="41291126">
    <w:abstractNumId w:val="5"/>
  </w:num>
  <w:num w:numId="6" w16cid:durableId="943616521">
    <w:abstractNumId w:val="3"/>
  </w:num>
  <w:num w:numId="7" w16cid:durableId="134593979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C7"/>
    <w:rsid w:val="00000A74"/>
    <w:rsid w:val="00006BA1"/>
    <w:rsid w:val="000849CA"/>
    <w:rsid w:val="0009543F"/>
    <w:rsid w:val="000964D2"/>
    <w:rsid w:val="000A0C66"/>
    <w:rsid w:val="000A35AE"/>
    <w:rsid w:val="000E2C4D"/>
    <w:rsid w:val="000F1638"/>
    <w:rsid w:val="00101DE1"/>
    <w:rsid w:val="00101F22"/>
    <w:rsid w:val="0011314F"/>
    <w:rsid w:val="001439F5"/>
    <w:rsid w:val="00146E1D"/>
    <w:rsid w:val="001634A5"/>
    <w:rsid w:val="00177E26"/>
    <w:rsid w:val="001A3315"/>
    <w:rsid w:val="001B77A2"/>
    <w:rsid w:val="001C5592"/>
    <w:rsid w:val="00234C3A"/>
    <w:rsid w:val="00242708"/>
    <w:rsid w:val="0029135D"/>
    <w:rsid w:val="00293DA0"/>
    <w:rsid w:val="002A15F6"/>
    <w:rsid w:val="002A3492"/>
    <w:rsid w:val="002B3211"/>
    <w:rsid w:val="002C1F85"/>
    <w:rsid w:val="00304FA9"/>
    <w:rsid w:val="003256BC"/>
    <w:rsid w:val="00331BAF"/>
    <w:rsid w:val="00356C1E"/>
    <w:rsid w:val="003579DC"/>
    <w:rsid w:val="00364A97"/>
    <w:rsid w:val="00376993"/>
    <w:rsid w:val="0038005C"/>
    <w:rsid w:val="003B54F9"/>
    <w:rsid w:val="003C20D1"/>
    <w:rsid w:val="003E35D6"/>
    <w:rsid w:val="0042132A"/>
    <w:rsid w:val="0042717D"/>
    <w:rsid w:val="00435A40"/>
    <w:rsid w:val="00455ABD"/>
    <w:rsid w:val="004F29F1"/>
    <w:rsid w:val="004F64D8"/>
    <w:rsid w:val="00524452"/>
    <w:rsid w:val="005339EE"/>
    <w:rsid w:val="005A2258"/>
    <w:rsid w:val="005A3394"/>
    <w:rsid w:val="005B6E7A"/>
    <w:rsid w:val="00603004"/>
    <w:rsid w:val="00605694"/>
    <w:rsid w:val="006310C7"/>
    <w:rsid w:val="00635174"/>
    <w:rsid w:val="0065091A"/>
    <w:rsid w:val="006528DF"/>
    <w:rsid w:val="006674EB"/>
    <w:rsid w:val="006811BB"/>
    <w:rsid w:val="006A03C1"/>
    <w:rsid w:val="006A0D2E"/>
    <w:rsid w:val="006A7C08"/>
    <w:rsid w:val="006E5493"/>
    <w:rsid w:val="006F7638"/>
    <w:rsid w:val="006F7F84"/>
    <w:rsid w:val="00744EC8"/>
    <w:rsid w:val="00762CD2"/>
    <w:rsid w:val="007714E9"/>
    <w:rsid w:val="0078048F"/>
    <w:rsid w:val="00780602"/>
    <w:rsid w:val="00783424"/>
    <w:rsid w:val="0079709D"/>
    <w:rsid w:val="007A1E31"/>
    <w:rsid w:val="007B073D"/>
    <w:rsid w:val="007E61D0"/>
    <w:rsid w:val="008058F3"/>
    <w:rsid w:val="008129D6"/>
    <w:rsid w:val="008301AA"/>
    <w:rsid w:val="00850E72"/>
    <w:rsid w:val="00876985"/>
    <w:rsid w:val="00896A1E"/>
    <w:rsid w:val="008B0A97"/>
    <w:rsid w:val="008D2712"/>
    <w:rsid w:val="008E0408"/>
    <w:rsid w:val="00901197"/>
    <w:rsid w:val="009115B3"/>
    <w:rsid w:val="0092549E"/>
    <w:rsid w:val="00933653"/>
    <w:rsid w:val="00942C03"/>
    <w:rsid w:val="009676C3"/>
    <w:rsid w:val="00970127"/>
    <w:rsid w:val="00972319"/>
    <w:rsid w:val="009A1460"/>
    <w:rsid w:val="009D0B82"/>
    <w:rsid w:val="009D404B"/>
    <w:rsid w:val="009F51D2"/>
    <w:rsid w:val="00A002ED"/>
    <w:rsid w:val="00A06662"/>
    <w:rsid w:val="00A1208D"/>
    <w:rsid w:val="00A33B22"/>
    <w:rsid w:val="00A46A21"/>
    <w:rsid w:val="00A86A1E"/>
    <w:rsid w:val="00A96C18"/>
    <w:rsid w:val="00AB4EA5"/>
    <w:rsid w:val="00AE435F"/>
    <w:rsid w:val="00B00512"/>
    <w:rsid w:val="00B24048"/>
    <w:rsid w:val="00B31870"/>
    <w:rsid w:val="00B5400A"/>
    <w:rsid w:val="00B67710"/>
    <w:rsid w:val="00B774C0"/>
    <w:rsid w:val="00BB39C4"/>
    <w:rsid w:val="00BC00EC"/>
    <w:rsid w:val="00BF1179"/>
    <w:rsid w:val="00BF619D"/>
    <w:rsid w:val="00BF77D0"/>
    <w:rsid w:val="00C00371"/>
    <w:rsid w:val="00C0102A"/>
    <w:rsid w:val="00C4630B"/>
    <w:rsid w:val="00C617AB"/>
    <w:rsid w:val="00C67FDD"/>
    <w:rsid w:val="00C72915"/>
    <w:rsid w:val="00C83FDE"/>
    <w:rsid w:val="00CA005D"/>
    <w:rsid w:val="00CC4422"/>
    <w:rsid w:val="00CC4F7E"/>
    <w:rsid w:val="00CC5EC7"/>
    <w:rsid w:val="00CD6683"/>
    <w:rsid w:val="00CE3151"/>
    <w:rsid w:val="00D2676D"/>
    <w:rsid w:val="00D52011"/>
    <w:rsid w:val="00D528D2"/>
    <w:rsid w:val="00D62E7E"/>
    <w:rsid w:val="00D63A3F"/>
    <w:rsid w:val="00D83101"/>
    <w:rsid w:val="00D96B5D"/>
    <w:rsid w:val="00DB1474"/>
    <w:rsid w:val="00DB7D97"/>
    <w:rsid w:val="00DC0474"/>
    <w:rsid w:val="00DC4437"/>
    <w:rsid w:val="00DC7A32"/>
    <w:rsid w:val="00DD236B"/>
    <w:rsid w:val="00DD7915"/>
    <w:rsid w:val="00DE0AED"/>
    <w:rsid w:val="00DE657B"/>
    <w:rsid w:val="00E0792F"/>
    <w:rsid w:val="00E20276"/>
    <w:rsid w:val="00E378EF"/>
    <w:rsid w:val="00E4244C"/>
    <w:rsid w:val="00E52B54"/>
    <w:rsid w:val="00E569C2"/>
    <w:rsid w:val="00EB763D"/>
    <w:rsid w:val="00EF3F4C"/>
    <w:rsid w:val="00F016E2"/>
    <w:rsid w:val="00F072A5"/>
    <w:rsid w:val="00F23D61"/>
    <w:rsid w:val="00F844E8"/>
    <w:rsid w:val="00F96ABC"/>
    <w:rsid w:val="00FA4B34"/>
    <w:rsid w:val="00FB7102"/>
    <w:rsid w:val="00FC2BCD"/>
    <w:rsid w:val="00FC6E6B"/>
    <w:rsid w:val="00FE3975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A92D"/>
  <w15:chartTrackingRefBased/>
  <w15:docId w15:val="{61B6F369-C114-45F4-8575-48D38092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2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5EC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657B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657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E65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0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2E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01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5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8F3"/>
  </w:style>
  <w:style w:type="paragraph" w:styleId="Footer">
    <w:name w:val="footer"/>
    <w:basedOn w:val="Normal"/>
    <w:link w:val="FooterChar"/>
    <w:uiPriority w:val="99"/>
    <w:unhideWhenUsed/>
    <w:rsid w:val="00805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3420">
          <w:marLeft w:val="14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27">
          <w:marLeft w:val="14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2188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937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66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0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0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51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2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914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340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355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6921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04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37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524">
          <w:marLeft w:val="169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497">
          <w:marLeft w:val="169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1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7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0271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601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935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165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86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2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9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244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371">
          <w:marLeft w:val="169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374">
          <w:marLeft w:val="169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11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56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95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12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320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5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5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083">
          <w:marLeft w:val="59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865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3152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567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504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29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464">
          <w:marLeft w:val="5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07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2906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304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5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2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375">
          <w:marLeft w:val="148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0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84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1748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339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194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7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93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83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28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7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68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5600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8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76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921">
          <w:marLeft w:val="148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611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942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985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3708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80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52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53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7634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29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035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976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1957">
          <w:marLeft w:val="169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017">
          <w:marLeft w:val="169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2896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447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731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8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18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43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4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2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12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0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001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284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497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70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6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5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70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1291">
          <w:marLeft w:val="148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247">
          <w:marLeft w:val="148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0778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98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88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61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4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759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17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175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20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012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230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321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6628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1098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417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4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63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62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2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055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40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175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2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67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09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8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3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09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742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84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99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125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864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393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4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569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895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6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58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0256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0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820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62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49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30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51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34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6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6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320">
          <w:marLeft w:val="169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812">
          <w:marLeft w:val="169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745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7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9932">
          <w:marLeft w:val="148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23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7995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03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530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37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64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30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9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541">
          <w:marLeft w:val="139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767">
          <w:marLeft w:val="139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6675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184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554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17">
          <w:marLeft w:val="14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202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652">
          <w:marLeft w:val="148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632">
          <w:marLeft w:val="148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846">
          <w:marLeft w:val="148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02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870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940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2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8F963-EB90-4349-ACB3-3A905BB5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ปรเมศร์ รังสิพล</dc:creator>
  <cp:keywords/>
  <dc:description/>
  <cp:lastModifiedBy>Charuwan Laosumrit</cp:lastModifiedBy>
  <cp:revision>76</cp:revision>
  <dcterms:created xsi:type="dcterms:W3CDTF">2021-07-07T06:15:00Z</dcterms:created>
  <dcterms:modified xsi:type="dcterms:W3CDTF">2022-11-30T12:10:00Z</dcterms:modified>
</cp:coreProperties>
</file>