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CD76" w14:textId="2A9A2E56" w:rsidR="00293DA0" w:rsidRPr="002B3211" w:rsidRDefault="00603004" w:rsidP="00603004">
      <w:pPr>
        <w:pStyle w:val="NoSpacing"/>
        <w:rPr>
          <w:cs/>
        </w:rPr>
      </w:pPr>
      <w:r>
        <w:rPr>
          <w:noProof/>
          <w:lang w:val="th-TH"/>
        </w:rPr>
        <w:drawing>
          <wp:inline distT="0" distB="0" distL="0" distR="0" wp14:anchorId="77F0673D" wp14:editId="17CAC98B">
            <wp:extent cx="5943600" cy="39604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5773" w14:textId="77777777" w:rsidR="006A03C1" w:rsidRDefault="006A03C1" w:rsidP="008301AA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174A1A96" w14:textId="291D6513" w:rsidR="00EF3F4C" w:rsidRPr="002B3211" w:rsidRDefault="00EF3F4C" w:rsidP="008301AA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B3211">
        <w:rPr>
          <w:rFonts w:ascii="Cordia New" w:hAnsi="Cordia New" w:cs="Cordia New"/>
          <w:b/>
          <w:bCs/>
          <w:sz w:val="32"/>
          <w:szCs w:val="32"/>
        </w:rPr>
        <w:t>Key Highlights</w:t>
      </w:r>
    </w:p>
    <w:p w14:paraId="741E81F0" w14:textId="74F709ED" w:rsidR="00603004" w:rsidRPr="00603004" w:rsidRDefault="00603004" w:rsidP="00603004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</w:rPr>
      </w:pPr>
      <w:r w:rsidRPr="00603004">
        <w:rPr>
          <w:rFonts w:ascii="Cordia New" w:hAnsi="Cordia New" w:cs="Cordia New"/>
          <w:b/>
          <w:bCs/>
          <w:sz w:val="28"/>
          <w:cs/>
        </w:rPr>
        <w:t>เศรษฐกิจไตรมาสที่ 3/2565 ขยายตัว 4.5%</w:t>
      </w:r>
      <w:r w:rsidRPr="00603004">
        <w:rPr>
          <w:rFonts w:ascii="Cordia New" w:hAnsi="Cordia New" w:cs="Cordia New"/>
          <w:b/>
          <w:bCs/>
          <w:sz w:val="28"/>
        </w:rPr>
        <w:t>YoY</w:t>
      </w:r>
      <w:r w:rsidRPr="00603004">
        <w:rPr>
          <w:rFonts w:ascii="Cordia New" w:hAnsi="Cordia New" w:cs="Cordia New"/>
          <w:b/>
          <w:bCs/>
          <w:sz w:val="28"/>
          <w:cs/>
        </w:rPr>
        <w:t xml:space="preserve"> เร่งตัวขึ้นจากไตรมาสก่อนที่เติบโต 2.5% </w:t>
      </w:r>
      <w:r w:rsidRPr="00603004">
        <w:rPr>
          <w:rFonts w:ascii="Cordia New" w:hAnsi="Cordia New" w:cs="Cordia New"/>
          <w:sz w:val="28"/>
          <w:cs/>
        </w:rPr>
        <w:t xml:space="preserve">โดยเป็นขยายตัวต่อเนื่อง 1.2% </w:t>
      </w:r>
      <w:proofErr w:type="spellStart"/>
      <w:r w:rsidRPr="00603004">
        <w:rPr>
          <w:rFonts w:ascii="Cordia New" w:hAnsi="Cordia New" w:cs="Cordia New"/>
          <w:sz w:val="28"/>
        </w:rPr>
        <w:t>QoQSA</w:t>
      </w:r>
      <w:proofErr w:type="spellEnd"/>
      <w:r w:rsidRPr="00603004">
        <w:rPr>
          <w:rFonts w:ascii="Cordia New" w:hAnsi="Cordia New" w:cs="Cordia New"/>
          <w:sz w:val="28"/>
        </w:rPr>
        <w:t xml:space="preserve"> </w:t>
      </w:r>
      <w:r w:rsidRPr="00603004">
        <w:rPr>
          <w:rFonts w:ascii="Cordia New" w:hAnsi="Cordia New" w:cs="Cordia New"/>
          <w:sz w:val="28"/>
          <w:cs/>
        </w:rPr>
        <w:t xml:space="preserve">เทียบจากไตรมาสก่อนหน้า ตามการบริโภคเอกชนที่ขยายตัว 9% </w:t>
      </w:r>
      <w:r w:rsidRPr="00603004">
        <w:rPr>
          <w:rFonts w:ascii="Cordia New" w:hAnsi="Cordia New" w:cs="Cordia New"/>
          <w:sz w:val="28"/>
        </w:rPr>
        <w:t>YoY</w:t>
      </w:r>
      <w:r w:rsidRPr="00603004">
        <w:rPr>
          <w:rFonts w:ascii="Cordia New" w:hAnsi="Cordia New" w:cs="Cordia New"/>
          <w:sz w:val="28"/>
          <w:cs/>
        </w:rPr>
        <w:t xml:space="preserve"> สูงสุดในรอบ 39 ไตรมาสและขยายตัวเร่งขึ้นในทุกหมวดสอดคล้องกับกิจกรรมทางเศรษฐกิจที่ทยอยฟื้นตัวเข้าสู่ภาวะปกติและการส่งออกบริการขยายตัวเร่งขึ้นที่ 87</w:t>
      </w:r>
      <w:r w:rsidRPr="00603004">
        <w:rPr>
          <w:rFonts w:ascii="Cordia New" w:hAnsi="Cordia New" w:cs="Cordia New"/>
          <w:sz w:val="28"/>
        </w:rPr>
        <w:t>%</w:t>
      </w:r>
      <w:r w:rsidRPr="00603004">
        <w:rPr>
          <w:rFonts w:ascii="Cordia New" w:hAnsi="Cordia New" w:cs="Cordia New"/>
          <w:sz w:val="28"/>
          <w:cs/>
        </w:rPr>
        <w:t xml:space="preserve"> ตามการท่องเที่ยวที่ฟื้นตัวต่อเนื่อง สำหรับการลงทุนรวมกลับมาขยายตัวตามการลงทุนภาคเอกชนที่เร่งขึ้น ขณะที่การส่งออกสินค้าขยายตัวชะลอลงจากทั้งปริมาณและราคาที่ชะลอลงจากไตรมาสก่อน</w:t>
      </w:r>
    </w:p>
    <w:p w14:paraId="516BCAB9" w14:textId="77777777" w:rsidR="00603004" w:rsidRPr="00603004" w:rsidRDefault="00603004" w:rsidP="00603004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  <w:cs/>
        </w:rPr>
      </w:pPr>
      <w:r w:rsidRPr="00603004">
        <w:rPr>
          <w:rFonts w:ascii="Cordia New" w:hAnsi="Cordia New" w:cs="Cordia New"/>
          <w:b/>
          <w:bCs/>
          <w:sz w:val="28"/>
          <w:cs/>
        </w:rPr>
        <w:t>สภาพัฒน์คาดเศรษฐกิจปี 2565 ขยายตัวที่ 3.2</w:t>
      </w:r>
      <w:r w:rsidRPr="00603004">
        <w:rPr>
          <w:rFonts w:ascii="Cordia New" w:hAnsi="Cordia New" w:cs="Cordia New"/>
          <w:b/>
          <w:bCs/>
          <w:sz w:val="28"/>
        </w:rPr>
        <w:t>%</w:t>
      </w:r>
      <w:r w:rsidRPr="00603004">
        <w:rPr>
          <w:rFonts w:ascii="Cordia New" w:hAnsi="Cordia New" w:cs="Cordia New"/>
          <w:b/>
          <w:bCs/>
          <w:sz w:val="28"/>
          <w:cs/>
        </w:rPr>
        <w:t xml:space="preserve"> แตะระดับขอบบนของประมาณการเดิม (2.7</w:t>
      </w:r>
      <w:r w:rsidRPr="00603004">
        <w:rPr>
          <w:rFonts w:ascii="Cordia New" w:hAnsi="Cordia New" w:cs="Cordia New"/>
          <w:b/>
          <w:bCs/>
          <w:sz w:val="28"/>
        </w:rPr>
        <w:t>%</w:t>
      </w:r>
      <w:r w:rsidRPr="00603004">
        <w:rPr>
          <w:rFonts w:ascii="Cordia New" w:hAnsi="Cordia New" w:cs="Cordia New"/>
          <w:b/>
          <w:bCs/>
          <w:sz w:val="28"/>
          <w:cs/>
        </w:rPr>
        <w:t xml:space="preserve"> - 3.2%) ขณะที่คาดปี 2566 เศรษฐกิจขยายตัวต่อเนื่องในกรอบ 3</w:t>
      </w:r>
      <w:r w:rsidRPr="00603004">
        <w:rPr>
          <w:rFonts w:ascii="Cordia New" w:hAnsi="Cordia New" w:cs="Cordia New"/>
          <w:b/>
          <w:bCs/>
          <w:sz w:val="28"/>
        </w:rPr>
        <w:t>%</w:t>
      </w:r>
      <w:r w:rsidRPr="00603004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603004">
        <w:rPr>
          <w:rFonts w:ascii="Cordia New" w:hAnsi="Cordia New" w:cs="Cordia New"/>
          <w:b/>
          <w:bCs/>
          <w:sz w:val="28"/>
        </w:rPr>
        <w:t>-</w:t>
      </w:r>
      <w:r w:rsidRPr="00603004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603004">
        <w:rPr>
          <w:rFonts w:ascii="Cordia New" w:hAnsi="Cordia New" w:cs="Cordia New"/>
          <w:b/>
          <w:bCs/>
          <w:sz w:val="28"/>
        </w:rPr>
        <w:t>4%</w:t>
      </w:r>
      <w:r w:rsidRPr="00603004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603004">
        <w:rPr>
          <w:rFonts w:ascii="Cordia New" w:hAnsi="Cordia New" w:cs="Cordia New"/>
          <w:sz w:val="28"/>
          <w:cs/>
        </w:rPr>
        <w:t xml:space="preserve">โดยมีปัจจัยสนับสนุนจากการฟื้นตัวของการบริโภคและการลงทุน รวมทั้งการปรับตัวดีขึ้นต่อเนื่องของภาคการท่องเที่ยว ซึ่ง </w:t>
      </w:r>
      <w:r w:rsidRPr="00603004">
        <w:rPr>
          <w:rFonts w:ascii="Cordia New" w:hAnsi="Cordia New" w:cs="Cordia New"/>
          <w:sz w:val="28"/>
        </w:rPr>
        <w:t xml:space="preserve">Krungthai COMPASS </w:t>
      </w:r>
      <w:r w:rsidRPr="00603004">
        <w:rPr>
          <w:rFonts w:ascii="Cordia New" w:hAnsi="Cordia New" w:cs="Cordia New"/>
          <w:sz w:val="28"/>
          <w:cs/>
        </w:rPr>
        <w:t>คาดว่าจำนวนนักท่องเที่ยวต่างชาติในปี 2566 จะขยายตัวขึ้นแตะระดับ 21.4 ล้านคน จากปีนี้ที่คาดว่าจะสูงถึง 10.2 ล้านคน ส่งผลให้ไทยเป็นหนึ่งในไม่กี่ประเทศที่จีดีพีในปีหน้าจะสูงกว่าปีนี้</w:t>
      </w:r>
    </w:p>
    <w:p w14:paraId="47C97A71" w14:textId="77777777" w:rsidR="001634A5" w:rsidRPr="002B3211" w:rsidRDefault="001634A5" w:rsidP="001634A5">
      <w:pPr>
        <w:pStyle w:val="ListParagraph"/>
        <w:rPr>
          <w:rFonts w:ascii="Cordia New" w:hAnsi="Cordia New" w:cs="Cordia New"/>
          <w:sz w:val="28"/>
        </w:rPr>
      </w:pPr>
    </w:p>
    <w:p w14:paraId="7D07F02B" w14:textId="77777777" w:rsidR="00D83101" w:rsidRDefault="00D83101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 w:rsidRPr="00D83101">
        <w:rPr>
          <w:rFonts w:ascii="Cordia New" w:hAnsi="Cordia New" w:cs="Cordia New"/>
          <w:b/>
          <w:bCs/>
          <w:sz w:val="28"/>
          <w:szCs w:val="28"/>
          <w:cs/>
        </w:rPr>
        <w:t>ฉมาดนัย มากนวล</w:t>
      </w:r>
    </w:p>
    <w:p w14:paraId="444F75A1" w14:textId="7660DCEA" w:rsidR="00D63A3F" w:rsidRDefault="00D63A3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 w:rsidRPr="00D63A3F">
        <w:rPr>
          <w:rFonts w:ascii="Cordia New" w:hAnsi="Cordia New" w:cs="Cordia New"/>
          <w:b/>
          <w:bCs/>
          <w:sz w:val="28"/>
          <w:szCs w:val="28"/>
          <w:cs/>
        </w:rPr>
        <w:t>ชนม์นิธิศ ไชยสิงห์ทอง</w:t>
      </w:r>
    </w:p>
    <w:p w14:paraId="200926A7" w14:textId="29ABF129" w:rsidR="001439F5" w:rsidRDefault="00AE435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  <w:sectPr w:rsidR="001439F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  <w:r w:rsidRPr="002B3211">
        <w:rPr>
          <w:rFonts w:ascii="Cordia New" w:hAnsi="Cordia New" w:cs="Cordia New"/>
          <w:b/>
          <w:bCs/>
          <w:sz w:val="28"/>
          <w:szCs w:val="28"/>
        </w:rPr>
        <w:t>Krungthai COMPASS</w:t>
      </w:r>
    </w:p>
    <w:p w14:paraId="1421B7E5" w14:textId="77777777" w:rsidR="00603004" w:rsidRPr="00603004" w:rsidRDefault="00603004" w:rsidP="00603004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>จีดีพีไตรมาส 3/2565 ขยายตัวต่อเนื่อง โดยได้รับแรงหนุนจากการบริโภคภาคเอกชน การลงทุนภาคเอกชนและการส่งออกบริการที่ขยายตัวเร่งขึ้น</w:t>
      </w:r>
    </w:p>
    <w:p w14:paraId="441CE1CC" w14:textId="77777777" w:rsidR="00603004" w:rsidRPr="00603004" w:rsidRDefault="00603004" w:rsidP="00603004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สำนักงานสภาพัฒนาการเศรษฐกิจและสังคมแห่งชาติ (สศช.) รายงานตัวเลขการเติบโตทางเศรษฐกิจในไตรมาสที่ 3/2565 ขยายตัว 4.5% 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YoY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หรือ ขยายตัวจากไตรมาสก่อนหน้าที่ 1.2% </w:t>
      </w:r>
      <w:proofErr w:type="spellStart"/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QoQSA</w:t>
      </w:r>
      <w:proofErr w:type="spellEnd"/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โดยการรายงานเศรษฐกิจด้านรายจ่ายในไตรมาสที่ 3 ของปีมีประเด็นหลักๆ ได้แก่</w:t>
      </w:r>
    </w:p>
    <w:p w14:paraId="230F2727" w14:textId="77777777" w:rsidR="00603004" w:rsidRPr="00603004" w:rsidRDefault="00603004">
      <w:pPr>
        <w:numPr>
          <w:ilvl w:val="0"/>
          <w:numId w:val="2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การอุปโภคบริโภคเอกชนขยายตัว 9.0%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เร่งขึ้นจากไตรมาสก่อนที่ขยายตัว 7.1% โดยขยายตัวสูงสุดในรอบ 39 ไตรมาสและขยายตัวเร่งขึ้นในทุกหมวดจากกิจกรรมทางเศรษฐกิจที่ทยอยปรับเข้าสู่ภาวะปกติ โดยการใช้จ่ายหมวดบริการขยายตัวถึง 15.8% ตามการใช้จ่ายในกลุ่มโรงแรมและภัตตาคารที่เร่งขึ้น การใช้จ่ายหมวดสินค้าคงทนขยายตัว 18.2% ตามการใช้จ่ายเพื่อซื้อยานพาหนะ การใช้จ่ายหมวดไม่คงทนขยายตัว 3.2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จากหมวดอาหารและเครื่องดื่มที่ไม่มีแอลกอฮอล์ และการใช้จ่ายหมวดสินค้ากึ่งคงทนขยายตัว 3.6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จากกลุ่มเครื่องเรือนและเครื่องตกแต่ง </w:t>
      </w:r>
    </w:p>
    <w:p w14:paraId="175DC70E" w14:textId="64BB5A61" w:rsidR="00603004" w:rsidRPr="00603004" w:rsidRDefault="00603004">
      <w:pPr>
        <w:numPr>
          <w:ilvl w:val="0"/>
          <w:numId w:val="2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การลงทุนรวมกลับมาขยายตัว 5.2%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เทียบจากไตรมาสก่อนที่หดตัว 1.0%</w:t>
      </w:r>
      <w:r>
        <w:rPr>
          <w:rFonts w:ascii="Cordia New" w:eastAsiaTheme="minorEastAsia" w:hAnsi="Cordia New" w:cs="Cordia New" w:hint="cs"/>
          <w:color w:val="000000" w:themeColor="text1"/>
          <w:kern w:val="24"/>
          <w:sz w:val="28"/>
          <w:cs/>
        </w:rPr>
        <w:t xml:space="preserve">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จากการลงทุนภาคเอกชนที่ขยายตัว 11% เร่งขึ้นจาก 2.3% ในไตรมาสก่อน ตามการลงทุนเครื่องจักรเครื่องมือ และการลงทุนด้านการก่อสร้างกลับมาขยายตัวได้ที่ 2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ส่วนการลงทุนภาครัฐหดตัวที่ 7.3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เทียบจากไตรมาสก่อนที่หดตัว 9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%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โดยการลงทุนรัฐบาลหดตัวน้อยลงขณะที่การลงทุนรัฐวิสาหกิจขยาตัวชะลอลง</w:t>
      </w:r>
    </w:p>
    <w:p w14:paraId="03AA2D4B" w14:textId="77777777" w:rsidR="00603004" w:rsidRPr="00603004" w:rsidRDefault="00603004">
      <w:pPr>
        <w:numPr>
          <w:ilvl w:val="0"/>
          <w:numId w:val="2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การใช้จ่ายเพื่อการอุปโภคของรัฐบาลกลับมาหดตัวเล็กน้อย 0.6%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เทียบกับไตรมาสก่อนที่การขยายตัว 2.8% เป็นผลมาจากการลดลงของค่าใช้จ่ายด้านสาธารณสุขโดยเฉพาะค่าใช้จ่ายเกี่ยวกับโรคโควิด-19 </w:t>
      </w:r>
    </w:p>
    <w:p w14:paraId="32985B7B" w14:textId="77777777" w:rsidR="00603004" w:rsidRPr="00603004" w:rsidRDefault="00603004">
      <w:pPr>
        <w:numPr>
          <w:ilvl w:val="0"/>
          <w:numId w:val="2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มูลค่าการส่งออกสินค้าขยายตัว 6.7%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ชะลอลงจากไตรมาสก่อนหน้าที่ขยายตัว 9.7% โดยปริมาณและราคาส่งออกขยายตัว 2.1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และ 4.4% ชะลอลงเมื่อเทียบจากในไตรมาสก่อนที่ขยายตัว 4.4% และ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5.1%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ตามลำดับ สำหรับสินค้าที่มีมูลค่าส่งออกเพิ่มขึ้น อาทิ เครื่องจักรและอุกรณ์ รถกระบะและรถบรรทุก แผงวงจรรวมและชิ้นส่วน เป็นต้น ส่วนสินค้าที่มีมูลค่าส่งออกลดลง เช่น รถยนต์นั่ง เคมีภัณฑ์และปิโตรเคมี ชิ้นส่วนและอุปกรณ์คอมพิวเตอร์ ผลิตภัณฑ์ยาง เป็นต้น</w:t>
      </w:r>
    </w:p>
    <w:p w14:paraId="19FA513B" w14:textId="0287195A" w:rsidR="00603004" w:rsidRDefault="00603004">
      <w:pPr>
        <w:numPr>
          <w:ilvl w:val="0"/>
          <w:numId w:val="2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การส่งออกบริการขยายตัว 87%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เร่งขึ้นต่อเนื่องจากไตรมาสก่อนหน้าที่ขยายตัว 54.5% จากรายรับภาคการท่องเที่ยวที่เพิ่มขึ้นจากการดำเนินมาตรการเปิดรับนักท่องเที่ยวต่างประเทศ โดยการยกเลิกมาตรการ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Thailand Pass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ตั้งแต่วันที่ 1 กรกฎาคม 2565 และการเดินทางระหว่างประเทศที่เข้าสู่ภาวะปกติมากขึ้น</w:t>
      </w:r>
    </w:p>
    <w:p w14:paraId="157C2488" w14:textId="77777777" w:rsidR="00603004" w:rsidRDefault="00603004" w:rsidP="00603004">
      <w:pPr>
        <w:spacing w:line="360" w:lineRule="exact"/>
        <w:jc w:val="thaiDistribute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sectPr w:rsidR="00603004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08D53B63" w14:textId="019BC76B" w:rsidR="00603004" w:rsidRDefault="00603004" w:rsidP="00603004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  <w:lang w:val="th-TH"/>
        </w:rPr>
        <w:lastRenderedPageBreak/>
        <w:drawing>
          <wp:anchor distT="0" distB="0" distL="114300" distR="114300" simplePos="0" relativeHeight="251658240" behindDoc="0" locked="0" layoutInCell="1" allowOverlap="1" wp14:anchorId="4CEA5421" wp14:editId="15957D3A">
            <wp:simplePos x="0" y="0"/>
            <wp:positionH relativeFrom="column">
              <wp:posOffset>7620</wp:posOffset>
            </wp:positionH>
            <wp:positionV relativeFrom="paragraph">
              <wp:posOffset>2560320</wp:posOffset>
            </wp:positionV>
            <wp:extent cx="5943600" cy="329438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สำหรับเศรษฐกิจปี 2565 สภาพัฒน์คาดว่าจะขยายตัว 3.2%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แตะระดับขอบบนของประมาณการเดิมที่ 2.7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-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3.2%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จากเศรษฐกิจที่ฟื้นตัวชัดเจนตามการบริโภคภาคเอกชนและภาคการท่องเที่ยวที่ฟื้นตัวกลับมาเป็นปกติมากขึ้น สอดคล้องกับกิจกรรมทางเศรษฐกิจที่มีแนวโน้มฟื้นตัวต่อเนื่อง ประกอบกับการดำเนินมาตรการสนับสนุนการใช้จ่ายของภาครัฐ อีกทั้ง การลงทุนภาคเอกชนมีแนวโน้มขยายตัวดีขึ้นสอดคล้องกับการลงทุนในช่วง 3 ไตรมาสแรกที่ขยายตัวถึง 5.3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%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การนำเข้าสินค้ามีแนวโน้มขยายตัวมากขึ้นสอดคล้องกับการลงทุนภาคเอกชนที่ขยายตัว อย่างไรก็ตาม สภาพัฒน์คาดว่าการส่งออกสินค้าในปีนี้จะเริ่มได้รับผลกระทบจากเศรษฐกิจโลกที่ชะลอตัวลง 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ส่วนแนวโน้มเศรษฐกิจไทยปี 2566 คาดว่าจะขยายตัวในช่วง 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br/>
        <w:t>3.0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%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-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4.0%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โดยมีปัจจัยสนับสนุนจาก (1) การฟื้นตัวของภาคการท่องเที่ยว (2) การขยายตัวของการลงทุนทั้งภาคเอกชนและภาครัฐ (3) การขยายตัวอย่างต่อเนื่องของการบริโภคภายในประเทศ และ (4) แนวโน้มการขยายตัวในเกณฑ์ดีของภาคการเกษตร ขณะที่เศรษฐกิจยังมีความเสี่ยงจากความผันผวนของเศรษฐกิจโลก เงื่อนไขทางการเงินของภาคครัวเรือนและภาคธุรกิจจากภาระหนี้สินที่อยู่ในระดับสูง และความเสี่ยงจาการแพร่ระบาดของโควิด-19 สายพันธุ์ใหม่</w:t>
      </w:r>
    </w:p>
    <w:p w14:paraId="19C33B68" w14:textId="3750020D" w:rsidR="00603004" w:rsidRDefault="00603004" w:rsidP="00603004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136B836B" w14:textId="77777777" w:rsidR="00603004" w:rsidRPr="00603004" w:rsidRDefault="00603004" w:rsidP="00603004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5FE2FAA8" w14:textId="142CE935" w:rsidR="00603004" w:rsidRPr="00603004" w:rsidRDefault="00603004" w:rsidP="00603004">
      <w:pPr>
        <w:spacing w:line="360" w:lineRule="exact"/>
        <w:jc w:val="thaiDistribute"/>
        <w:rPr>
          <w:rFonts w:ascii="Cordia New" w:eastAsiaTheme="minorEastAsia" w:hAnsi="Cordia New" w:cs="Cordia New" w:hint="cs"/>
          <w:color w:val="000000" w:themeColor="text1"/>
          <w:kern w:val="24"/>
          <w:sz w:val="28"/>
          <w:cs/>
        </w:rPr>
      </w:pPr>
    </w:p>
    <w:p w14:paraId="22F1E54D" w14:textId="77777777" w:rsidR="00603004" w:rsidRDefault="00603004" w:rsidP="00603004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sectPr w:rsidR="00603004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73DAB5F4" w14:textId="544FC310" w:rsidR="0078048F" w:rsidRDefault="00603004" w:rsidP="00603004">
      <w:pPr>
        <w:spacing w:line="360" w:lineRule="exact"/>
        <w:jc w:val="thaiDistribute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lastRenderedPageBreak/>
        <w:t>Implication:</w:t>
      </w:r>
    </w:p>
    <w:p w14:paraId="716403C2" w14:textId="328D0E1F" w:rsidR="00603004" w:rsidRPr="00603004" w:rsidRDefault="00603004">
      <w:pPr>
        <w:numPr>
          <w:ilvl w:val="0"/>
          <w:numId w:val="3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สภาพัฒน์คาดเศรษฐกิจปี 256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6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ขยายตัวต่อเร่งขึ้น สอดคล้องกับมุมมองของ 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Krungthai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COMPASS</w:t>
      </w:r>
      <w:r w:rsidRPr="00603004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ซึ่งคาดว่าจีดีพีปีหน้ามีแนวโน้มเติบโตดีกว่าปีนี้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ทั้งนี้สภาพัฒน์คาดว่า ในปี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2566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เศรษฐกิจไทยอาจเติบโตในช่วงประมาณการ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3.0%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-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4.0%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โดยมีค่ากลางของกรอบประมาณการที่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3.5%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ซึ่งอยู่ในทิศทางเดียวกับสถาบันทางเศรษฐกิจหลายหน่วยงาน โดยเฉพาะ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IMF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(คาดว่าเติบโต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3.7%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ณ เดือน ต.ค.) และ ธปท. (คาดว่าเติบโต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3.8%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ณ เดือน ก.ย.) รวมทั้งสอดคล้องกับมุมมองของ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Krungthai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COMPASS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ซึ่งประเมินว่าเศรษฐกิจไทยในปี 2566 จะขยายตัวเร่งขึ้นเมื่อเทียบจากปี 256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5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จากแรงหนุนของการบริโภคและการลงทุนภาคเอกชน รวมทั้งยังจะได้รับปัจจัยหนุนจากการปรับตัวดีขึ้นต่อเนื่องของภาคการท่องเที่ยว ซึ่ง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Krungthai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COMPASS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คาดว่าจำนวนนักท่องเที่ยวต่างชาติในปี 2566 จะขยายตัวขึ้นเป็น 21.4 ล้านคน จากปีนี้ที่อาจจะแตะ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10.2 </w:t>
      </w:r>
      <w:r w:rsidRPr="00603004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ล้านคน แนวโน้มเศรษฐกิจที่ขยายตัวดีขึ้นต่อเนื่องในปีหน้าจะหนุนการเติบโตของภาคธุรกิจที่ได้รับอานิสงส์จากการฟื้นตัวของภาคการท่องเที่ยว การบริโภค และการลงทุน เช่น ธุรกิจโรงแรมและบริการด้านอาหาร ธุรกิจการค้าปลีก และธุรกิจขนส่ง เป็นต้น โดยไทยถือเป็นหนึ่งในไม่กี่ประเทศของโลก (เช่น จีน) ที่คาดว่าการเติบโตของจีดีพีในปีหน้าจะสูงกว่าปีนี้</w:t>
      </w:r>
    </w:p>
    <w:p w14:paraId="57F4C489" w14:textId="686384D7" w:rsidR="00603004" w:rsidRPr="00603004" w:rsidRDefault="00603004" w:rsidP="00603004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noProof/>
          <w:color w:val="000000" w:themeColor="text1"/>
          <w:kern w:val="24"/>
          <w:sz w:val="28"/>
        </w:rPr>
        <w:drawing>
          <wp:anchor distT="0" distB="0" distL="114300" distR="114300" simplePos="0" relativeHeight="251659264" behindDoc="0" locked="0" layoutInCell="1" allowOverlap="1" wp14:anchorId="49B6B446" wp14:editId="1A45CB87">
            <wp:simplePos x="0" y="0"/>
            <wp:positionH relativeFrom="column">
              <wp:posOffset>480060</wp:posOffset>
            </wp:positionH>
            <wp:positionV relativeFrom="paragraph">
              <wp:posOffset>71120</wp:posOffset>
            </wp:positionV>
            <wp:extent cx="5346192" cy="3364992"/>
            <wp:effectExtent l="0" t="0" r="6985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192" cy="3364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3004" w:rsidRPr="00603004" w:rsidSect="00CC442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386C" w14:textId="77777777" w:rsidR="0042717D" w:rsidRDefault="0042717D" w:rsidP="00DE657B">
      <w:pPr>
        <w:spacing w:after="0" w:line="240" w:lineRule="auto"/>
      </w:pPr>
      <w:r>
        <w:separator/>
      </w:r>
    </w:p>
  </w:endnote>
  <w:endnote w:type="continuationSeparator" w:id="0">
    <w:p w14:paraId="556DBCFC" w14:textId="77777777" w:rsidR="0042717D" w:rsidRDefault="0042717D" w:rsidP="00D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5BC1" w14:textId="77777777" w:rsidR="0042717D" w:rsidRDefault="0042717D" w:rsidP="00DE657B">
      <w:pPr>
        <w:spacing w:after="0" w:line="240" w:lineRule="auto"/>
      </w:pPr>
      <w:r>
        <w:separator/>
      </w:r>
    </w:p>
  </w:footnote>
  <w:footnote w:type="continuationSeparator" w:id="0">
    <w:p w14:paraId="3E0BA56D" w14:textId="77777777" w:rsidR="0042717D" w:rsidRDefault="0042717D" w:rsidP="00DE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421A9"/>
    <w:multiLevelType w:val="hybridMultilevel"/>
    <w:tmpl w:val="379A5AF0"/>
    <w:lvl w:ilvl="0" w:tplc="0784B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FEA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4ACF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C0A7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285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162E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7E1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1A03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1A4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471E7F02"/>
    <w:multiLevelType w:val="hybridMultilevel"/>
    <w:tmpl w:val="8F58CCC8"/>
    <w:lvl w:ilvl="0" w:tplc="8B7ED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76CF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E52D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EF6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972A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9B82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DA5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AA0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9AF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5D4A1824"/>
    <w:multiLevelType w:val="hybridMultilevel"/>
    <w:tmpl w:val="988A5EAE"/>
    <w:lvl w:ilvl="0" w:tplc="C8E0E32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B0F0"/>
      </w:rPr>
    </w:lvl>
    <w:lvl w:ilvl="1" w:tplc="072ED2EA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128492C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0B80412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C20172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D542CD6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264700C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F6CBBEE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94CBB4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 w16cid:durableId="628244568">
    <w:abstractNumId w:val="2"/>
  </w:num>
  <w:num w:numId="2" w16cid:durableId="1894195119">
    <w:abstractNumId w:val="0"/>
  </w:num>
  <w:num w:numId="3" w16cid:durableId="116447140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C7"/>
    <w:rsid w:val="00000A74"/>
    <w:rsid w:val="00006BA1"/>
    <w:rsid w:val="000849CA"/>
    <w:rsid w:val="0009543F"/>
    <w:rsid w:val="000964D2"/>
    <w:rsid w:val="000A0C66"/>
    <w:rsid w:val="000A35AE"/>
    <w:rsid w:val="000E2C4D"/>
    <w:rsid w:val="000F1638"/>
    <w:rsid w:val="00101DE1"/>
    <w:rsid w:val="00101F22"/>
    <w:rsid w:val="0011314F"/>
    <w:rsid w:val="001439F5"/>
    <w:rsid w:val="00146E1D"/>
    <w:rsid w:val="001634A5"/>
    <w:rsid w:val="00177E26"/>
    <w:rsid w:val="001A3315"/>
    <w:rsid w:val="001B77A2"/>
    <w:rsid w:val="001C5592"/>
    <w:rsid w:val="00234C3A"/>
    <w:rsid w:val="00242708"/>
    <w:rsid w:val="0029135D"/>
    <w:rsid w:val="00293DA0"/>
    <w:rsid w:val="002A15F6"/>
    <w:rsid w:val="002A3492"/>
    <w:rsid w:val="002B3211"/>
    <w:rsid w:val="002C1F85"/>
    <w:rsid w:val="00304FA9"/>
    <w:rsid w:val="003256BC"/>
    <w:rsid w:val="00331BAF"/>
    <w:rsid w:val="00356C1E"/>
    <w:rsid w:val="003579DC"/>
    <w:rsid w:val="00364A97"/>
    <w:rsid w:val="00376993"/>
    <w:rsid w:val="0038005C"/>
    <w:rsid w:val="003B54F9"/>
    <w:rsid w:val="003C20D1"/>
    <w:rsid w:val="0042132A"/>
    <w:rsid w:val="0042717D"/>
    <w:rsid w:val="00435A40"/>
    <w:rsid w:val="00455ABD"/>
    <w:rsid w:val="004F29F1"/>
    <w:rsid w:val="004F64D8"/>
    <w:rsid w:val="00524452"/>
    <w:rsid w:val="005339EE"/>
    <w:rsid w:val="005A2258"/>
    <w:rsid w:val="005A3394"/>
    <w:rsid w:val="005B6E7A"/>
    <w:rsid w:val="00603004"/>
    <w:rsid w:val="00605694"/>
    <w:rsid w:val="006310C7"/>
    <w:rsid w:val="00635174"/>
    <w:rsid w:val="0065091A"/>
    <w:rsid w:val="006528DF"/>
    <w:rsid w:val="006674EB"/>
    <w:rsid w:val="006811BB"/>
    <w:rsid w:val="006A03C1"/>
    <w:rsid w:val="006A0D2E"/>
    <w:rsid w:val="006A7C08"/>
    <w:rsid w:val="006E5493"/>
    <w:rsid w:val="006F7638"/>
    <w:rsid w:val="006F7F84"/>
    <w:rsid w:val="00744EC8"/>
    <w:rsid w:val="00762CD2"/>
    <w:rsid w:val="007714E9"/>
    <w:rsid w:val="0078048F"/>
    <w:rsid w:val="00780602"/>
    <w:rsid w:val="00783424"/>
    <w:rsid w:val="0079709D"/>
    <w:rsid w:val="007A1E31"/>
    <w:rsid w:val="007B073D"/>
    <w:rsid w:val="007E61D0"/>
    <w:rsid w:val="008058F3"/>
    <w:rsid w:val="008129D6"/>
    <w:rsid w:val="008301AA"/>
    <w:rsid w:val="00850E72"/>
    <w:rsid w:val="00876985"/>
    <w:rsid w:val="00896A1E"/>
    <w:rsid w:val="008B0A97"/>
    <w:rsid w:val="008D2712"/>
    <w:rsid w:val="008E0408"/>
    <w:rsid w:val="00901197"/>
    <w:rsid w:val="009115B3"/>
    <w:rsid w:val="0092549E"/>
    <w:rsid w:val="00933653"/>
    <w:rsid w:val="00942C03"/>
    <w:rsid w:val="009676C3"/>
    <w:rsid w:val="00970127"/>
    <w:rsid w:val="00972319"/>
    <w:rsid w:val="009A1460"/>
    <w:rsid w:val="009D0B82"/>
    <w:rsid w:val="009D404B"/>
    <w:rsid w:val="009F51D2"/>
    <w:rsid w:val="00A002ED"/>
    <w:rsid w:val="00A06662"/>
    <w:rsid w:val="00A1208D"/>
    <w:rsid w:val="00A33B22"/>
    <w:rsid w:val="00A46A21"/>
    <w:rsid w:val="00A86A1E"/>
    <w:rsid w:val="00A96C18"/>
    <w:rsid w:val="00AB4EA5"/>
    <w:rsid w:val="00AE435F"/>
    <w:rsid w:val="00B00512"/>
    <w:rsid w:val="00B24048"/>
    <w:rsid w:val="00B31870"/>
    <w:rsid w:val="00B5400A"/>
    <w:rsid w:val="00B67710"/>
    <w:rsid w:val="00B774C0"/>
    <w:rsid w:val="00BB39C4"/>
    <w:rsid w:val="00BC00EC"/>
    <w:rsid w:val="00BF1179"/>
    <w:rsid w:val="00BF619D"/>
    <w:rsid w:val="00BF77D0"/>
    <w:rsid w:val="00C00371"/>
    <w:rsid w:val="00C0102A"/>
    <w:rsid w:val="00C4630B"/>
    <w:rsid w:val="00C617AB"/>
    <w:rsid w:val="00C67FDD"/>
    <w:rsid w:val="00C72915"/>
    <w:rsid w:val="00C83FDE"/>
    <w:rsid w:val="00CA005D"/>
    <w:rsid w:val="00CC4422"/>
    <w:rsid w:val="00CC4F7E"/>
    <w:rsid w:val="00CC5EC7"/>
    <w:rsid w:val="00CD6683"/>
    <w:rsid w:val="00CE3151"/>
    <w:rsid w:val="00D2676D"/>
    <w:rsid w:val="00D52011"/>
    <w:rsid w:val="00D528D2"/>
    <w:rsid w:val="00D62E7E"/>
    <w:rsid w:val="00D63A3F"/>
    <w:rsid w:val="00D83101"/>
    <w:rsid w:val="00D96B5D"/>
    <w:rsid w:val="00DB1474"/>
    <w:rsid w:val="00DB7D97"/>
    <w:rsid w:val="00DC0474"/>
    <w:rsid w:val="00DC4437"/>
    <w:rsid w:val="00DC7A32"/>
    <w:rsid w:val="00DD236B"/>
    <w:rsid w:val="00DD7915"/>
    <w:rsid w:val="00DE0AED"/>
    <w:rsid w:val="00DE657B"/>
    <w:rsid w:val="00E0792F"/>
    <w:rsid w:val="00E20276"/>
    <w:rsid w:val="00E378EF"/>
    <w:rsid w:val="00E4244C"/>
    <w:rsid w:val="00E569C2"/>
    <w:rsid w:val="00EB763D"/>
    <w:rsid w:val="00EF3F4C"/>
    <w:rsid w:val="00F016E2"/>
    <w:rsid w:val="00F072A5"/>
    <w:rsid w:val="00F23D61"/>
    <w:rsid w:val="00F844E8"/>
    <w:rsid w:val="00F96ABC"/>
    <w:rsid w:val="00FA4B34"/>
    <w:rsid w:val="00FB7102"/>
    <w:rsid w:val="00FC2BCD"/>
    <w:rsid w:val="00FC6E6B"/>
    <w:rsid w:val="00FE3975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A92D"/>
  <w15:chartTrackingRefBased/>
  <w15:docId w15:val="{61B6F369-C114-45F4-8575-48D3809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E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57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57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E6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F3"/>
  </w:style>
  <w:style w:type="paragraph" w:styleId="Footer">
    <w:name w:val="footer"/>
    <w:basedOn w:val="Normal"/>
    <w:link w:val="Foot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42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27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18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37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6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0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1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91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3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35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92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0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52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49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27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60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3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16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9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24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37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37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11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5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9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1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2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5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56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083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86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15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6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0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2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464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0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90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30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375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0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4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74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33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19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9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6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60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8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7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92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611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942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9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0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5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63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629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35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7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95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1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89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4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3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8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4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1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0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00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9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6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47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77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9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8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75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17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1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230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21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62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09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41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4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6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6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05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4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2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4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84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9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12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864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9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6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25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82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49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1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4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20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81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4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7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9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9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541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767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6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18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5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20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65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6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46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2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7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F963-EB90-4349-ACB3-3A905BB5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ปรเมศร์ รังสิพล</dc:creator>
  <cp:keywords/>
  <dc:description/>
  <cp:lastModifiedBy>Charuwan Laosumrit</cp:lastModifiedBy>
  <cp:revision>75</cp:revision>
  <dcterms:created xsi:type="dcterms:W3CDTF">2021-07-07T06:15:00Z</dcterms:created>
  <dcterms:modified xsi:type="dcterms:W3CDTF">2022-11-22T00:40:00Z</dcterms:modified>
</cp:coreProperties>
</file>