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98CD76" w14:textId="134EACC1" w:rsidR="00293DA0" w:rsidRPr="002B3211" w:rsidRDefault="001439F5" w:rsidP="008058F3">
      <w:pPr>
        <w:pStyle w:val="NoSpacing"/>
        <w:rPr>
          <w:rFonts w:ascii="Cordia New" w:hAnsi="Cordia New" w:cs="Cordia New"/>
          <w:cs/>
        </w:rPr>
      </w:pPr>
      <w:r>
        <w:rPr>
          <w:rFonts w:ascii="Cordia New" w:hAnsi="Cordia New" w:cs="Cordia New" w:hint="cs"/>
          <w:noProof/>
          <w:lang w:val="th-TH"/>
        </w:rPr>
        <w:drawing>
          <wp:inline distT="0" distB="0" distL="0" distR="0" wp14:anchorId="4C462747" wp14:editId="0B0DD38B">
            <wp:extent cx="5943600" cy="39604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B5773" w14:textId="77777777" w:rsidR="006A03C1" w:rsidRDefault="006A03C1" w:rsidP="008301AA">
      <w:pPr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14:paraId="174A1A96" w14:textId="291D6513" w:rsidR="00EF3F4C" w:rsidRPr="002B3211" w:rsidRDefault="00EF3F4C" w:rsidP="008301AA">
      <w:pPr>
        <w:spacing w:after="0" w:line="240" w:lineRule="auto"/>
        <w:rPr>
          <w:rFonts w:ascii="Cordia New" w:hAnsi="Cordia New" w:cs="Cordia New"/>
          <w:sz w:val="32"/>
          <w:szCs w:val="32"/>
        </w:rPr>
      </w:pPr>
      <w:r w:rsidRPr="002B3211">
        <w:rPr>
          <w:rFonts w:ascii="Cordia New" w:hAnsi="Cordia New" w:cs="Cordia New"/>
          <w:b/>
          <w:bCs/>
          <w:sz w:val="32"/>
          <w:szCs w:val="32"/>
        </w:rPr>
        <w:t>Key Highlights</w:t>
      </w:r>
    </w:p>
    <w:p w14:paraId="1FD0227B" w14:textId="77777777" w:rsidR="001439F5" w:rsidRPr="001439F5" w:rsidRDefault="001439F5" w:rsidP="001439F5">
      <w:pPr>
        <w:pStyle w:val="ListParagraph"/>
        <w:numPr>
          <w:ilvl w:val="0"/>
          <w:numId w:val="1"/>
        </w:numPr>
        <w:rPr>
          <w:rFonts w:ascii="Cordia New" w:hAnsi="Cordia New" w:cs="Cordia New"/>
          <w:sz w:val="28"/>
        </w:rPr>
      </w:pPr>
      <w:r w:rsidRPr="001439F5">
        <w:rPr>
          <w:rFonts w:ascii="Cordia New" w:hAnsi="Cordia New" w:cs="Cordia New"/>
          <w:sz w:val="28"/>
        </w:rPr>
        <w:t>Krungthai</w:t>
      </w:r>
      <w:r w:rsidRPr="001439F5">
        <w:rPr>
          <w:rFonts w:ascii="Cordia New" w:hAnsi="Cordia New" w:cs="Cordia New"/>
          <w:sz w:val="28"/>
          <w:cs/>
        </w:rPr>
        <w:t xml:space="preserve"> </w:t>
      </w:r>
      <w:r w:rsidRPr="001439F5">
        <w:rPr>
          <w:rFonts w:ascii="Cordia New" w:hAnsi="Cordia New" w:cs="Cordia New"/>
          <w:sz w:val="28"/>
        </w:rPr>
        <w:t>COMPASS</w:t>
      </w:r>
      <w:r w:rsidRPr="001439F5">
        <w:rPr>
          <w:rFonts w:ascii="Cordia New" w:hAnsi="Cordia New" w:cs="Cordia New"/>
          <w:sz w:val="28"/>
          <w:cs/>
        </w:rPr>
        <w:t xml:space="preserve"> ประเมินมูลค่าตลาดที่อยู่อาศัยในกรุงเทพฯ และปริมณฑลปี 2565 มีมูลค่า 6.04 แสนล้านบาท ฟื้นตัว 3.3%</w:t>
      </w:r>
      <w:r w:rsidRPr="001439F5">
        <w:rPr>
          <w:rFonts w:ascii="Cordia New" w:hAnsi="Cordia New" w:cs="Cordia New"/>
          <w:sz w:val="28"/>
        </w:rPr>
        <w:t>YoY</w:t>
      </w:r>
      <w:r w:rsidRPr="001439F5">
        <w:rPr>
          <w:rFonts w:ascii="Cordia New" w:hAnsi="Cordia New" w:cs="Cordia New"/>
          <w:sz w:val="28"/>
          <w:cs/>
        </w:rPr>
        <w:t xml:space="preserve"> ก่อนเร่งตัวขึ้นอีก 4.2%</w:t>
      </w:r>
      <w:r w:rsidRPr="001439F5">
        <w:rPr>
          <w:rFonts w:ascii="Cordia New" w:hAnsi="Cordia New" w:cs="Cordia New"/>
          <w:sz w:val="28"/>
        </w:rPr>
        <w:t>YoY</w:t>
      </w:r>
      <w:r w:rsidRPr="001439F5">
        <w:rPr>
          <w:rFonts w:ascii="Cordia New" w:hAnsi="Cordia New" w:cs="Cordia New"/>
          <w:sz w:val="28"/>
          <w:cs/>
        </w:rPr>
        <w:t xml:space="preserve"> ในปี 2566 โดยมีปัจจัยสนับสนุนจาก 1) การฟื้นตัวของเศรษฐกิจไทย 2) การกลับมาของกำลังซื้อต่างชาติ และ 3) แนวโน้มที่ภาครัฐจะขยายมาตรการกระตุ้นภาคอสังหาฯ ทั้งการผ่อนเกณฑ์ </w:t>
      </w:r>
      <w:r w:rsidRPr="001439F5">
        <w:rPr>
          <w:rFonts w:ascii="Cordia New" w:hAnsi="Cordia New" w:cs="Cordia New"/>
          <w:sz w:val="28"/>
        </w:rPr>
        <w:t xml:space="preserve">LTV </w:t>
      </w:r>
      <w:r w:rsidRPr="001439F5">
        <w:rPr>
          <w:rFonts w:ascii="Cordia New" w:hAnsi="Cordia New" w:cs="Cordia New"/>
          <w:sz w:val="28"/>
          <w:cs/>
        </w:rPr>
        <w:t>และการลดค่าธรรมเนียมโอน-จำนองไปอีก 1 ปี</w:t>
      </w:r>
    </w:p>
    <w:p w14:paraId="0EC7817C" w14:textId="77777777" w:rsidR="001439F5" w:rsidRPr="001439F5" w:rsidRDefault="001439F5" w:rsidP="001439F5">
      <w:pPr>
        <w:pStyle w:val="ListParagraph"/>
        <w:numPr>
          <w:ilvl w:val="0"/>
          <w:numId w:val="1"/>
        </w:numPr>
        <w:rPr>
          <w:rFonts w:ascii="Cordia New" w:hAnsi="Cordia New" w:cs="Cordia New"/>
          <w:sz w:val="28"/>
          <w:cs/>
        </w:rPr>
      </w:pPr>
      <w:r w:rsidRPr="001439F5">
        <w:rPr>
          <w:rFonts w:ascii="Cordia New" w:hAnsi="Cordia New" w:cs="Cordia New"/>
          <w:sz w:val="28"/>
          <w:cs/>
        </w:rPr>
        <w:t xml:space="preserve">อัตราดอกเบี้ยขาขึ้นจะส่งผลลบโดยตรงต่อการซื้อที่อยู่อาศัยของผู้บริโภคเนื่องจากทุกๆ การขึ้นดอกเบี้ย 1% จะทำให้มูลค่าที่อยู่อาศัยสูงสุดที่ผู้บริโภคสามารถซื้อได้ลดลงไปราว 10% ขณะเดียวกันการขึ้นดอกเบี้ยทุกๆ 1% มีแนวโน้มทำให้ </w:t>
      </w:r>
      <w:r w:rsidRPr="001439F5">
        <w:rPr>
          <w:rFonts w:ascii="Cordia New" w:hAnsi="Cordia New" w:cs="Cordia New"/>
          <w:sz w:val="28"/>
        </w:rPr>
        <w:t>Net</w:t>
      </w:r>
      <w:r w:rsidRPr="001439F5">
        <w:rPr>
          <w:rFonts w:ascii="Cordia New" w:hAnsi="Cordia New" w:cs="Cordia New"/>
          <w:sz w:val="28"/>
          <w:cs/>
        </w:rPr>
        <w:t xml:space="preserve"> </w:t>
      </w:r>
      <w:r w:rsidRPr="001439F5">
        <w:rPr>
          <w:rFonts w:ascii="Cordia New" w:hAnsi="Cordia New" w:cs="Cordia New"/>
          <w:sz w:val="28"/>
        </w:rPr>
        <w:t>Profit</w:t>
      </w:r>
      <w:r w:rsidRPr="001439F5">
        <w:rPr>
          <w:rFonts w:ascii="Cordia New" w:hAnsi="Cordia New" w:cs="Cordia New"/>
          <w:sz w:val="28"/>
          <w:cs/>
        </w:rPr>
        <w:t xml:space="preserve"> </w:t>
      </w:r>
      <w:r w:rsidRPr="001439F5">
        <w:rPr>
          <w:rFonts w:ascii="Cordia New" w:hAnsi="Cordia New" w:cs="Cordia New"/>
          <w:sz w:val="28"/>
        </w:rPr>
        <w:t>Margin</w:t>
      </w:r>
      <w:r w:rsidRPr="001439F5">
        <w:rPr>
          <w:rFonts w:ascii="Cordia New" w:hAnsi="Cordia New" w:cs="Cordia New"/>
          <w:sz w:val="28"/>
          <w:cs/>
        </w:rPr>
        <w:t xml:space="preserve"> ของผู้พัฒนาที่อยู่อาศัยลดลงเฉลี่ย 0.56% ผ่านต้นทุนทางการเงินที่สูงขึ้น</w:t>
      </w:r>
    </w:p>
    <w:p w14:paraId="16BF1963" w14:textId="77777777" w:rsidR="001439F5" w:rsidRPr="001439F5" w:rsidRDefault="001439F5" w:rsidP="001439F5">
      <w:pPr>
        <w:pStyle w:val="ListParagraph"/>
        <w:numPr>
          <w:ilvl w:val="0"/>
          <w:numId w:val="1"/>
        </w:numPr>
        <w:rPr>
          <w:rFonts w:ascii="Cordia New" w:hAnsi="Cordia New" w:cs="Cordia New"/>
          <w:sz w:val="28"/>
          <w:cs/>
        </w:rPr>
      </w:pPr>
      <w:r w:rsidRPr="001439F5">
        <w:rPr>
          <w:rFonts w:ascii="Cordia New" w:hAnsi="Cordia New" w:cs="Cordia New"/>
          <w:sz w:val="28"/>
          <w:cs/>
        </w:rPr>
        <w:t>ต้นทุนการพัฒนาโครงการใหม่ๆ ในช่วงปี 2565-66 ที่มีแนวโน้มอยู่ในระดับสูงจากราคาวัสดุก่อสร้างหลายรายการที่คาดว่าจะยังยืนสูง ประกอบกับราคาที่ดินที่ยังคงปรับตัวสูงขึ้นต่อเนื่องถือเป็นปัจจัยกดดันสำคัญต่อการทำกำไรของผู้พัฒนาที่อยู่อาศัยในช่วง 1-2 ปีนี้ อย่างไรก็ดี ประเด็นการปรับเพิ่มค่าแรงขั้นต่ำคาดว่าจะกระทบภาคอสังหาฯ ไม่มากนัก เนื่องจากค่าจ้างแรงงานในภาคธุรกิจก่อสร้างที่อยู่อาศัยสูงเกินค่าแรงขั้นต่ำอยู่ก่อนแล้ว</w:t>
      </w:r>
    </w:p>
    <w:p w14:paraId="47C97A71" w14:textId="77777777" w:rsidR="001634A5" w:rsidRPr="002B3211" w:rsidRDefault="001634A5" w:rsidP="001634A5">
      <w:pPr>
        <w:pStyle w:val="ListParagraph"/>
        <w:rPr>
          <w:rFonts w:ascii="Cordia New" w:hAnsi="Cordia New" w:cs="Cordia New"/>
          <w:sz w:val="28"/>
        </w:rPr>
      </w:pPr>
    </w:p>
    <w:p w14:paraId="3901A66E" w14:textId="77777777" w:rsidR="001439F5" w:rsidRDefault="001439F5" w:rsidP="008301AA">
      <w:pPr>
        <w:pStyle w:val="ListParagraph"/>
        <w:ind w:firstLine="720"/>
        <w:jc w:val="right"/>
        <w:rPr>
          <w:rFonts w:ascii="Cordia New" w:hAnsi="Cordia New" w:cs="Cordia New"/>
          <w:b/>
          <w:bCs/>
          <w:sz w:val="28"/>
          <w:szCs w:val="28"/>
        </w:rPr>
      </w:pPr>
      <w:r w:rsidRPr="001439F5">
        <w:rPr>
          <w:rFonts w:ascii="Cordia New" w:hAnsi="Cordia New" w:cs="Cordia New"/>
          <w:b/>
          <w:bCs/>
          <w:sz w:val="28"/>
          <w:szCs w:val="28"/>
          <w:cs/>
        </w:rPr>
        <w:t>กณิศ อ่ำสกุล</w:t>
      </w:r>
    </w:p>
    <w:p w14:paraId="200926A7" w14:textId="77777777" w:rsidR="001439F5" w:rsidRDefault="00AE435F" w:rsidP="008301AA">
      <w:pPr>
        <w:pStyle w:val="ListParagraph"/>
        <w:ind w:firstLine="720"/>
        <w:jc w:val="right"/>
        <w:rPr>
          <w:rFonts w:ascii="Cordia New" w:hAnsi="Cordia New" w:cs="Cordia New"/>
          <w:b/>
          <w:bCs/>
          <w:sz w:val="28"/>
          <w:szCs w:val="28"/>
        </w:rPr>
        <w:sectPr w:rsidR="001439F5" w:rsidSect="00CC4422">
          <w:pgSz w:w="12240" w:h="15840"/>
          <w:pgMar w:top="1440" w:right="1440" w:bottom="851" w:left="1440" w:header="720" w:footer="720" w:gutter="0"/>
          <w:cols w:space="720"/>
          <w:docGrid w:linePitch="360"/>
        </w:sectPr>
      </w:pPr>
      <w:r w:rsidRPr="002B3211">
        <w:rPr>
          <w:rFonts w:ascii="Cordia New" w:hAnsi="Cordia New" w:cs="Cordia New"/>
          <w:b/>
          <w:bCs/>
          <w:sz w:val="28"/>
          <w:szCs w:val="28"/>
        </w:rPr>
        <w:t>Krungthai COMPASS</w:t>
      </w:r>
    </w:p>
    <w:p w14:paraId="08D24F5A" w14:textId="2D3C7AC3" w:rsidR="001439F5" w:rsidRPr="001439F5" w:rsidRDefault="001439F5" w:rsidP="001439F5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1439F5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lastRenderedPageBreak/>
        <w:t>Krungthai</w:t>
      </w:r>
      <w:r w:rsidRPr="001439F5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</w:t>
      </w:r>
      <w:r w:rsidRPr="001439F5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COMPASS</w:t>
      </w:r>
      <w:r w:rsidRPr="001439F5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ประเมินมูลค่าตลาดที่อยู่อาศัยในกรุงเทพฯ และปริมณฑลปี 2565 มีมูลค่า 6.04 แสนล้านบาท ฟื้นตัว 3.3%</w:t>
      </w:r>
      <w:r w:rsidRPr="001439F5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YoY</w:t>
      </w:r>
      <w:r w:rsidRPr="001439F5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ก่อนเร่งตัวขึ้นอีก 4.2%</w:t>
      </w:r>
      <w:r w:rsidRPr="001439F5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 xml:space="preserve">YoY </w:t>
      </w:r>
      <w:r w:rsidRPr="001439F5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ในปี 2566 โดยมีปัจจัยสนับสนุนหลักมาจาก 1) การฟื้นตัวของเศรษฐกิจไทย </w:t>
      </w:r>
      <w:bookmarkStart w:id="0" w:name="_GoBack"/>
      <w:bookmarkEnd w:id="0"/>
      <w:r w:rsidRPr="001439F5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2) การกลับมาของกำลังซื้อต่างชาติ ประกอบกับ 3) มีโอกาสที่ภาครัฐจะขยายมาตรการกระตุ้นภาคอสังหาฯ ทั้งมาตรการผ่อนปรนเกณฑ์ </w:t>
      </w:r>
      <w:r w:rsidRPr="001439F5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LTV</w:t>
      </w:r>
      <w:r w:rsidRPr="001439F5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และมาตรการลดค่าธรรมเนียมโอน-จำนองออกไปอีก 1 ปี จากเดิมที่จะสิ้นสุดลงปลายเดือน ธ.ค. 2565 ที่จะถึงนี้ อย่างไรก็ดี ยังคงต้องจับตาปัจจัยด้านดอกเบี้ยขาขึ้น และต้นทุนการพัฒนาโครงการที่อยู่ในระดับสูงอย่างใกล้ชิด เนื่องจากทั้ง 2 ปัจจัยจะส่งผลโดยตรงต่อการซื้อของผู้บริโภค และความสามารถในการทำกำไรของผู้พัฒนาที่อยู่อาศัยในระยะ 1-2 ปีนี้ </w:t>
      </w:r>
    </w:p>
    <w:p w14:paraId="073AED71" w14:textId="1FC2D110" w:rsidR="001439F5" w:rsidRPr="001439F5" w:rsidRDefault="001439F5" w:rsidP="001439F5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</w:pPr>
      <w:r w:rsidRPr="001439F5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มูลค่าตลาดที่อยู่อาศัย: ในปี 2565 คาดว่ามูลค่าโอนกรรมสิทธิ์ที่อยู่อาศัยในกรุงเทพฯ และปริมณฑลจะฟื้นตัว 3.3%</w:t>
      </w:r>
      <w:r w:rsidRPr="001439F5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YoY</w:t>
      </w:r>
      <w:r w:rsidRPr="001439F5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คิดเป็นมูลค่า 6.04 แสนล้านบาท โดยมีปัจจัยสนับสนุนจาก 1) การขยายตัวของเศรษฐกิจไทย และ 2) มาตรการกระตุ้นอสังหาฯ ทั้งการผ่อนปรน </w:t>
      </w:r>
      <w:r w:rsidRPr="001439F5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LTV</w:t>
      </w:r>
      <w:r w:rsidRPr="001439F5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และการลดค่าธรรมเนียมโอน-จำนอง </w:t>
      </w:r>
      <w:r w:rsidRPr="001439F5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โดย ที่อยู่อาศัยประเภทบ้านจัดสรร อาทิ บ้านเดี่ยว บ้านแฝด และทาวน์เฮ้าส์ที่สามารถตอบโจทย์การ </w:t>
      </w:r>
      <w:r w:rsidRPr="001439F5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WFH </w:t>
      </w:r>
      <w:r w:rsidRPr="001439F5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ได้ดีกว่าคอนโดมิเนียมยังคงได้รับการตอบรับที่ดีจากผู้บริโภคสะท้อนจากยอดโอนกรรมสิทธิ์ในครึ่งแรกของปี 2565 ที่ขยายตัวสูงถึง 7.2% ทั้งนี้ สำหรับมาตรการกระตุ้นอสังหาฯ ทั้งการผ่อนปรน </w:t>
      </w:r>
      <w:r w:rsidRPr="001439F5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LTV</w:t>
      </w:r>
      <w:r w:rsidRPr="001439F5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ให้    ผู้กู้ทุกสัญญาสามารถกู้ได้เต็ม 100% และการลดค่าธรรมเนียมโอน-จำนองให้เหลือรายการละ 0.01% สำหรับที่อยู่อาศัยไม่เกิน 3 ล้านบาท กระทรวงการคลังและธปท. กำลังหารือถึงความเป็นไปได้ที่จะต่ออายุทั้ง 2 มาตรการต่อไปอีก 1 ปี จากที่จะสิ้นสุดลงปลายเดือน ธ.ค. 2565 เป็นปลายปี 2566 แทน 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1"/>
      </w:r>
    </w:p>
    <w:p w14:paraId="7AB3AEEF" w14:textId="4B9395F7" w:rsidR="001439F5" w:rsidRPr="001439F5" w:rsidRDefault="001439F5" w:rsidP="001439F5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</w:pPr>
      <w:r w:rsidRPr="001439F5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สำหรับปี 2566 คาดว่าสภาพเศรษฐกิจไทยที่เติบโตต่อเนื่อง และการกลับมาของกำลังซื้อต่างชาติจากสถานการณ์การเดินทางระหว่างประเทศที่เริ่มกลับเข้าสู่สภาวะปกติมากขึ้นจะส่งผลให้มูลค่าโอนกรรมสิทธิ์ที่อยู่อาศัยในกรุงเทพฯ และปริมณฑลขยายตัวในอัตราเร่งขึ้นที่ 4.2%</w:t>
      </w:r>
      <w:r w:rsidRPr="001439F5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YoY</w:t>
      </w:r>
      <w:r w:rsidRPr="001439F5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คิดเป็นมูลค่า 6.3 แสนล้านบาท</w:t>
      </w:r>
      <w:r w:rsidRPr="001439F5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โดย นอกจากเศรษฐกิจไทยที่เติบโตต่อเนื่องซึ่งถือเป็นปัจจัยบวกต่อกำลังซื้อของผู้บริโภคไทยแล้ว การเปิดรับนักท่องเที่ยวต่างชาติได้มากขึ้นจาก 8.9 ล้านคนในปี 2565 ขึ้นมาอยู่ที่ 21.3 ล้านคน จะเป็นปัจจัยบวกให้ความต้องการซื้อที่อยู่อาศัยในไทยของชาวต่างชาติเติบโตตาม โดยเฉพาะจากชาวจีนซึ่งคิดเป็นครึ่งหนึ่งของกำลังซื้อต่างชาติทั้งหมดนั้นยังคงให้ความสนใจในภาคอสังหาฯ ไทย สะท้อนจากข้อมูลของ </w:t>
      </w:r>
      <w:r w:rsidRPr="001439F5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Juwai.com</w:t>
      </w:r>
      <w:r w:rsidRPr="001439F5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เว็บไซต์ซื้อขายอสังหาฯ ในต่างประเทศที่ใหญ่ที่สุดของจีน  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2"/>
      </w:r>
      <w:r w:rsidRPr="001439F5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ที่ชี้ว่าอสังหาฯ ไทยยังได้รับการค้นหาและมีคำสั่งซื้ออยู่ใน 3-4 อันดับแรกอย่างต่อเนื่องในช่วง 1</w:t>
      </w:r>
      <w:r w:rsidRPr="001439F5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H/65</w:t>
      </w:r>
      <w:r w:rsidRPr="001439F5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ที่ผ่านมา ทั้งนี้ </w:t>
      </w:r>
      <w:r w:rsidRPr="001439F5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Segment</w:t>
      </w:r>
      <w:r w:rsidRPr="001439F5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ที่จะได้ประโยชน์จากการกลับมาของกำลังซื้อต่างชาติมากที่สุดได้แก่ คอนโดมิเนียม 40-50 ตร.ม. ราคา 4-5 ล้านบาทต่อยูนิต ในทำเลยอดฮิตของต่างชาติอย่างสุขุมวิท สาทร อโศก พระราม 9 และรัชดา เป็นต้น</w:t>
      </w:r>
    </w:p>
    <w:p w14:paraId="513BC0DF" w14:textId="77777777" w:rsidR="00E0792F" w:rsidRDefault="00E0792F" w:rsidP="001C5592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</w:p>
    <w:p w14:paraId="7E536A24" w14:textId="47D32B5C" w:rsidR="00E0792F" w:rsidRDefault="00E0792F" w:rsidP="001C5592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</w:p>
    <w:p w14:paraId="0B3334ED" w14:textId="46822D08" w:rsidR="00E0792F" w:rsidRDefault="00E0792F" w:rsidP="001C5592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</w:p>
    <w:p w14:paraId="0B0669F2" w14:textId="101B1AD2" w:rsidR="00E0792F" w:rsidRDefault="00E0792F" w:rsidP="001C5592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</w:p>
    <w:p w14:paraId="7AE09CB6" w14:textId="15E8FBB0" w:rsidR="00E0792F" w:rsidRDefault="00E0792F" w:rsidP="001C5592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</w:p>
    <w:p w14:paraId="260C554C" w14:textId="42310D97" w:rsidR="00E0792F" w:rsidRDefault="00E0792F" w:rsidP="001C5592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</w:p>
    <w:p w14:paraId="668E0E99" w14:textId="77777777" w:rsidR="00E0792F" w:rsidRDefault="00E0792F" w:rsidP="00E0792F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>
        <w:rPr>
          <w:rFonts w:ascii="Cordia New" w:eastAsiaTheme="minorEastAsia" w:hAnsi="Cordia New" w:cs="Cordia New"/>
          <w:noProof/>
          <w:color w:val="000000" w:themeColor="text1"/>
          <w:kern w:val="24"/>
          <w:sz w:val="28"/>
          <w:lang w:val="th-TH"/>
        </w:rPr>
        <w:lastRenderedPageBreak/>
        <w:drawing>
          <wp:anchor distT="0" distB="0" distL="114300" distR="114300" simplePos="0" relativeHeight="251658240" behindDoc="0" locked="0" layoutInCell="1" allowOverlap="1" wp14:anchorId="59C60E33" wp14:editId="59B4E339">
            <wp:simplePos x="0" y="0"/>
            <wp:positionH relativeFrom="column">
              <wp:posOffset>-45720</wp:posOffset>
            </wp:positionH>
            <wp:positionV relativeFrom="paragraph">
              <wp:posOffset>50800</wp:posOffset>
            </wp:positionV>
            <wp:extent cx="5943600" cy="5273040"/>
            <wp:effectExtent l="0" t="0" r="0" b="381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92F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โครงการเปิดใหม่: ใน 1</w:t>
      </w:r>
      <w:r w:rsidRPr="00E0792F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H/65</w:t>
      </w:r>
      <w:r w:rsidRPr="00E0792F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ตลาดที่อยู่อาศัยในกรุงเทพฯ และปริมณฑลมีหน่วยเปิดใหม่ราว 51</w:t>
      </w:r>
      <w:r w:rsidRPr="00E0792F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,</w:t>
      </w:r>
      <w:r w:rsidRPr="00E0792F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500 ยูนิต สูงขึ้นกว่า 2 เท่าเมื่อเทียบกับทั้งปีที่ผ่านมา แบ่งเป็น บ้านจัดสรร 21</w:t>
      </w:r>
      <w:r w:rsidRPr="00E0792F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,</w:t>
      </w:r>
      <w:r w:rsidRPr="00E0792F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500 ยูนิต และคอนโดมิเนียม 30</w:t>
      </w:r>
      <w:r w:rsidRPr="00E0792F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,</w:t>
      </w:r>
      <w:r w:rsidRPr="00E0792F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500 ยูนิต </w:t>
      </w:r>
      <w:r w:rsidRPr="00E0792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โดย </w:t>
      </w:r>
      <w:r w:rsidRPr="00E0792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Segment</w:t>
      </w:r>
      <w:r w:rsidRPr="00E0792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ของที่อยู่อาศัยแต่ละประเภทที่ได้รับการตอบรับจากผู้บริโภคสะท้อนจากการมียอดขาย </w:t>
      </w:r>
      <w:r w:rsidRPr="00E0792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(Pre-sale)</w:t>
      </w:r>
      <w:r w:rsidRPr="00E0792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อยู่ในระดับสูงได้แก่ 1) บ้านเดี่ยว ราคามากกว่า 20 ล้านบาท มียอด </w:t>
      </w:r>
      <w:r w:rsidRPr="00E0792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Pre-sale</w:t>
      </w:r>
      <w:r w:rsidRPr="00E0792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เท่ากับ </w:t>
      </w:r>
      <w:r w:rsidRPr="00E0792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18.9%</w:t>
      </w:r>
      <w:r w:rsidRPr="00E0792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E0792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2)</w:t>
      </w:r>
      <w:r w:rsidRPr="00E0792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บ้านแฝด ราคา 5-10 ล้านบาท </w:t>
      </w:r>
      <w:r w:rsidRPr="00E0792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Pre-sale</w:t>
      </w:r>
      <w:r w:rsidRPr="00E0792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E0792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23.4%</w:t>
      </w:r>
      <w:r w:rsidRPr="00E0792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E0792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3)</w:t>
      </w:r>
      <w:r w:rsidRPr="00E0792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ทาวน์เฮ้าส์ ราคา 5-10 ล้านบาท </w:t>
      </w:r>
      <w:r w:rsidRPr="00E0792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Pre-sale</w:t>
      </w:r>
      <w:r w:rsidRPr="00E0792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E0792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57.8%</w:t>
      </w:r>
      <w:r w:rsidRPr="00E0792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ขณะที่    4) คอนโดมิเนียม </w:t>
      </w:r>
      <w:r w:rsidRPr="00E0792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Segment</w:t>
      </w:r>
      <w:r w:rsidRPr="00E0792F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ที่ได้รับความนิยมสุดคือ ราคาไม่เกิน 3 ล้านบาท หรือเป็นกลุ่มที่เน้นการมอบความคุ้มค่าให้ผู้บริโภค โดยมียอด </w:t>
      </w:r>
      <w:r w:rsidRPr="00E0792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Pre-sale 37.4%</w:t>
      </w:r>
    </w:p>
    <w:p w14:paraId="4BC9424D" w14:textId="0A8026FD" w:rsidR="00FA4B34" w:rsidRPr="00FA4B34" w:rsidRDefault="00FA4B34" w:rsidP="00FA4B34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สำหรับทั้งปี 2565-66 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Krungthai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COMPASS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คาดว่าหน่วยเปิดใหม่จะสูงขึ้นจาก 56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,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800 ยูนิตในปี 2564 มาอยู่ที่ปีละ 90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,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000-100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,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000 ยูนิต แบ่งเป็นบ้านจัดสรร 40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,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000-45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,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000 ยูนิต และคอนโดมิเนียม 5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0,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000-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55,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000       ยูนิต เนื่องจากผู้พัฒนาที่อยู่อาศัยต้องเร่งตุน 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Backlog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ให้กับตนเอง 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โดย หลังจากช่วงการระบาดของ 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COVID-19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ในปี 2563-64 ผู้พัฒนาที่อยู่อาศัยส่วนใหญ่ตัดสินใจที่จะรักษาสภาพคล่องด้วยวิธีการเน้นขายสต็อกเก่าที่สร้างเสร็จแล้ว และเลื่อนการเปิดโครงการใหม่ออกไปจนกว่าสถานการณ์จะดีขึ้น ส่งผลให้หน่วยเปิดใหม่ในช่วงเวลาดังกล่าวจึงอยู่ในระดับต่ำเพียงปีละ 65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000 เท่านั้น แนวโน้มหน่วยเปิดใหม่ที่จะปรับตัวสูงขึ้นในปี 2565-66 สอดคล้องแผนงานของ 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Top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Developers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ที่แทบทุกรายมีแผนจะเปิดโครงการใหม่ในปี 2565 ในระดับที่สูงขึ้นจากปีก่อน เช่น 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AP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ปี 2565 มีแผนจะเปิดโครงการใหม่ 60 โครงการ มูลค่า 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lastRenderedPageBreak/>
        <w:t>75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000 ล้านบาท สูงขึ้นจาก 19 โครงการ 22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540 ล้านบาท ในปี 2564 และ 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SIRI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ที่ตั้งเป้าเปิดโครงการใหม่ 46 โครงการ 50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000 ล้านบาท เพิ่มขึ้นจากปีก่อนที่ 15 โครงการ มูลค่าเกือบ 8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100 ล้านบาท (รูปที่ 2) </w:t>
      </w:r>
      <w:r w:rsidRPr="00FA4B34">
        <w:rPr>
          <w:rFonts w:ascii="Cordia New" w:eastAsiaTheme="minorEastAsia" w:hAnsi="Cordia New" w:cs="Cordia New"/>
          <w:i/>
          <w:iCs/>
          <w:color w:val="000000" w:themeColor="text1"/>
          <w:kern w:val="24"/>
          <w:sz w:val="28"/>
          <w:cs/>
        </w:rPr>
        <w:t>ทั้งนี้ หน่วยเปิดใหม่ที่สูงขึ้นในกลุ่มบ้านจัดสรรซึ่งโดยทั่วไปมักใช้ระยะเวลาก่อสร้างค่อนข้างเร็วที่ 6-12 เดือน ถือเป็นอีกหนึ่งปัจจัยสนับสนุนให้มูลค่าตลาดที่อยู่</w:t>
      </w:r>
      <w:r>
        <w:rPr>
          <w:rFonts w:ascii="Cordia New" w:eastAsiaTheme="minorEastAsia" w:hAnsi="Cordia New" w:cs="Cordia New"/>
          <w:noProof/>
          <w:color w:val="000000" w:themeColor="text1"/>
          <w:kern w:val="24"/>
          <w:sz w:val="28"/>
        </w:rPr>
        <w:drawing>
          <wp:anchor distT="0" distB="0" distL="114300" distR="114300" simplePos="0" relativeHeight="251659264" behindDoc="0" locked="0" layoutInCell="1" allowOverlap="1" wp14:anchorId="37EBC149" wp14:editId="566D96F3">
            <wp:simplePos x="0" y="0"/>
            <wp:positionH relativeFrom="column">
              <wp:posOffset>22860</wp:posOffset>
            </wp:positionH>
            <wp:positionV relativeFrom="paragraph">
              <wp:posOffset>1211580</wp:posOffset>
            </wp:positionV>
            <wp:extent cx="5943600" cy="486664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B34">
        <w:rPr>
          <w:rFonts w:ascii="Cordia New" w:eastAsiaTheme="minorEastAsia" w:hAnsi="Cordia New" w:cs="Cordia New"/>
          <w:i/>
          <w:iCs/>
          <w:color w:val="000000" w:themeColor="text1"/>
          <w:kern w:val="24"/>
          <w:sz w:val="28"/>
          <w:cs/>
        </w:rPr>
        <w:t>อาศัยในปี 2566 มีแนวโน้มเติบโตในอัตราที่เร่งขึ้นจากปีนี้ เช่นกัน</w:t>
      </w:r>
    </w:p>
    <w:p w14:paraId="4D9DCEC5" w14:textId="7D4328BF" w:rsidR="00E0792F" w:rsidRPr="00E0792F" w:rsidRDefault="00E0792F" w:rsidP="00E0792F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E0792F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 </w:t>
      </w:r>
    </w:p>
    <w:p w14:paraId="2C2900E9" w14:textId="24EDDEFD" w:rsidR="00FA4B34" w:rsidRPr="00FA4B34" w:rsidRDefault="00FA4B34" w:rsidP="00FA4B34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ผลการดำเนินงานของผู้ประกอบการในช่วง 1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 xml:space="preserve">H/65: Top 10 Developers 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ในตลาดหลักทรัพย์แห่งประเทศไทย </w:t>
      </w:r>
      <w:r>
        <w:rPr>
          <w:rStyle w:val="FootnoteReference"/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footnoteReference w:id="3"/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มีรายได้รวมใน 1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H/65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เท่ากับ 105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,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617 ล้านบาท ขยายตัว 3.9%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 xml:space="preserve">YoY 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ซึ่งถือเป็นระดับที่สูงกว่าช่วง 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 xml:space="preserve">Pre-COVID 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ที่ 103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,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128 ล้านบาทใน 1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 xml:space="preserve">H/62 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อยู่ 2.4% 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โดย รายได้ที่สูงขึ้นส่วนใหญ่เป็นผลมาจากที่อยู่อาศัยในกลุ่มบ้านจัดสรร อาทิ บ้านเดี่ยว บ้านแฝด และทาวน์เฮ้าส์ เนื่องจากยังคงเป็นประเภทของที่อยู่อาศัยที่มีขนาดและพื้นที่ที่ตอบโจทย์การ 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WFH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ของผู้บริโภคในปัจจุบันได้มากกว่าคอนโดมิเนียม สะท้อนจากรายได้ในกลุ่มบ้านจัดสรรของผู้พัฒนาที่อยู่อาศัยที่ขยายตัวได้ดีใน 1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H/65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อาทิ 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AP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ที่ขยายตัวถึง 21.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5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%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YoY 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เช่นเดียวกับ 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SC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และ 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SPALI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ที่ขยายตัว 11.7%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YoY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และ 22.1%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YoY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ตามลำดับ อย่างไรก็ดี เรายังพบว่าผู้พัฒนาที่อยู่อาศัยบางรายมีรายได้ใน 1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H/65 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ที่ลดลงจากปีที่ผ่านมา (รูปที่ 3)</w:t>
      </w:r>
    </w:p>
    <w:p w14:paraId="3C14B054" w14:textId="117FB286" w:rsidR="00FA4B34" w:rsidRPr="00FA4B34" w:rsidRDefault="00FA4B34" w:rsidP="00FA4B34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</w:pPr>
      <w:r>
        <w:rPr>
          <w:rFonts w:ascii="Cordia New" w:eastAsiaTheme="minorEastAsia" w:hAnsi="Cordia New" w:cs="Cordia New" w:hint="cs"/>
          <w:noProof/>
          <w:color w:val="000000" w:themeColor="text1"/>
          <w:kern w:val="24"/>
          <w:sz w:val="28"/>
          <w:lang w:val="th-TH"/>
        </w:rPr>
        <w:lastRenderedPageBreak/>
        <w:drawing>
          <wp:anchor distT="0" distB="0" distL="114300" distR="114300" simplePos="0" relativeHeight="251660288" behindDoc="0" locked="0" layoutInCell="1" allowOverlap="1" wp14:anchorId="39D601CF" wp14:editId="57EB5AAB">
            <wp:simplePos x="0" y="0"/>
            <wp:positionH relativeFrom="column">
              <wp:posOffset>15240</wp:posOffset>
            </wp:positionH>
            <wp:positionV relativeFrom="paragraph">
              <wp:posOffset>922020</wp:posOffset>
            </wp:positionV>
            <wp:extent cx="5943600" cy="4677410"/>
            <wp:effectExtent l="0" t="0" r="0" b="889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ส่วนด้านการทำกำไรพบว่า 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 xml:space="preserve">Top 10 Developers 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มีอัตรากำไรสุทธิเฉลี่ยที่สูงขึ้นจาก 12.5% ใน 1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H/64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มาอยู่ที่ 12.9% ตามการทยอยลดความรุนแรงในการแข่งขันทำโปรโมชั่นทางการตลาดลง 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อย่างไรก็ดี เมื่อเปรียบเทียบกับกำไรสุทธิเฉลี่ยในช่วง 1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H/62 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ที่ 15.5% พบว่าความสามารถในการกำไรโดยเฉลี่ยยังต่ำกว่าช่วง 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Pre-COVID 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อยู่พอสมควร </w:t>
      </w:r>
    </w:p>
    <w:p w14:paraId="1E607E74" w14:textId="77777777" w:rsidR="00FA4B34" w:rsidRDefault="00FA4B34" w:rsidP="00FA4B34">
      <w:pPr>
        <w:spacing w:line="360" w:lineRule="exact"/>
        <w:jc w:val="thaiDistribute"/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</w:pPr>
    </w:p>
    <w:p w14:paraId="39416B63" w14:textId="1DC15ED9" w:rsidR="00FA4B34" w:rsidRPr="00FA4B34" w:rsidRDefault="00FA4B34" w:rsidP="00FA4B34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สิ่งที่ควรจับตามองในปี 2566 คือ “เทรนด์ดอกเบี้ยขาขึ้น” และ “ต้นทุนการพัฒนาโครงการที่ยังยืนสูง”</w:t>
      </w:r>
      <w:r>
        <w:rPr>
          <w:rFonts w:ascii="Cordia New" w:eastAsiaTheme="minorEastAsia" w:hAnsi="Cordia New" w:cs="Cordia New" w:hint="cs"/>
          <w:b/>
          <w:bCs/>
          <w:color w:val="000000" w:themeColor="text1"/>
          <w:kern w:val="24"/>
          <w:sz w:val="28"/>
          <w:cs/>
        </w:rPr>
        <w:t xml:space="preserve"> 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ซึ่งเป็นปัจจัยลบสำคัญต่อต้นทุนการดำเนินงานของผู้พัฒนาที่อยู่อาศัย</w:t>
      </w:r>
    </w:p>
    <w:p w14:paraId="1DC18FEE" w14:textId="090F5F00" w:rsidR="00FA4B34" w:rsidRDefault="00FA4B34" w:rsidP="00FA4B34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อัตราดอกเบี้ยขาขึ้น: 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 xml:space="preserve">Krungthai COMPASS 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คาดว่าอัตราดอกเบี้ยในช่วงที่เหลือของปี 2565 จนถึงปี 2566 จะอยู่ในทิศทางปรับตัวสูงขึ้นโดยมีแรงผลักดันหลักจาก 1) กนง. มีแนวโน้มปรับอัตราดอกเบี้ยนโยบายขึ้นอีก 2 ครั้งจากปัจจุบันที่ 0.75% เป็น 1.25% ในปี 2565 ก่อนปรับขึ้นอีก 3 ครั้งเป็น 2% ใน      ปี 2566 และ 2) การปรับขึ้นค่าธรรมเนียมนำส่งเงินเข้ากองทุน 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FIDF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ที่ใน          1 ม.ค. 2566 จะกลับมาจ่ายในอัตราเดิมที่ 0.46% จากอัตราปัจจุบันที่ 0.23%</w:t>
      </w:r>
      <w:r w:rsidRPr="00FA4B3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vertAlign w:val="superscript"/>
          <w:cs/>
        </w:rPr>
        <w:t xml:space="preserve"> 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4"/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ส่งผลให้ตลาดที่อยู่อาศัยทั้งฝั่งผู้บริโภคและผู้พัฒนาที่อยู่อาศัยจะได้รับผลกระทบผ่านต้นทุนการกู้ยืมที่ทั้ง 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Minimum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Retail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Rate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(MRR)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และ 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Minimum Loan Rate (MLR) 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ที่มีแนวโน้มปรับตัวสูงขึ้นตาม</w:t>
      </w:r>
    </w:p>
    <w:p w14:paraId="5FA91136" w14:textId="6EDA9B59" w:rsidR="00FA4B34" w:rsidRPr="00635174" w:rsidRDefault="00635174" w:rsidP="00635174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>
        <w:rPr>
          <w:rFonts w:eastAsiaTheme="minorEastAsia" w:hint="cs"/>
          <w:noProof/>
          <w:lang w:val="th-TH"/>
        </w:rPr>
        <w:lastRenderedPageBreak/>
        <w:drawing>
          <wp:anchor distT="0" distB="0" distL="114300" distR="114300" simplePos="0" relativeHeight="251661312" behindDoc="0" locked="0" layoutInCell="1" allowOverlap="1" wp14:anchorId="51954285" wp14:editId="28980B5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5160010"/>
            <wp:effectExtent l="0" t="0" r="0" b="254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B34" w:rsidRPr="0063517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u w:val="single"/>
          <w:cs/>
        </w:rPr>
        <w:t>ผลต่อผู้บริโภค</w:t>
      </w:r>
      <w:r w:rsidR="00FA4B34" w:rsidRPr="0063517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: สามารถแบ่งได้ 2 กลุ่มด้วยกัน คือ 1) กลุ่มที่กำลังผ่อนชำระที่อยู่อาศัยอยู่ในปัจจุบัน และ 2) ผู้ที่มีความสนใจจะขอสินเชื่อเพื่อที่อยู่อาศัยในช่วง 1-2 ปีนี้ </w:t>
      </w:r>
      <w:r w:rsidR="00FA4B34" w:rsidRPr="00635174">
        <w:rPr>
          <w:rFonts w:ascii="Cordia New" w:eastAsiaTheme="minorEastAsia" w:hAnsi="Cordia New" w:cs="Cordia New"/>
          <w:i/>
          <w:iCs/>
          <w:color w:val="000000" w:themeColor="text1"/>
          <w:kern w:val="24"/>
          <w:sz w:val="28"/>
          <w:cs/>
        </w:rPr>
        <w:t>สำหรับผู้ที่กำลังผ่อนชำระอยู่ในปัจจุบัน</w:t>
      </w:r>
      <w:r>
        <w:rPr>
          <w:rStyle w:val="FootnoteReference"/>
          <w:rFonts w:ascii="Cordia New" w:eastAsiaTheme="minorEastAsia" w:hAnsi="Cordia New" w:cs="Cordia New"/>
          <w:i/>
          <w:iCs/>
          <w:color w:val="000000" w:themeColor="text1"/>
          <w:kern w:val="24"/>
          <w:sz w:val="28"/>
        </w:rPr>
        <w:footnoteReference w:id="5"/>
      </w:r>
      <w:r w:rsidR="00FA4B34" w:rsidRPr="0063517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ที่แม้จะมีค่างวดที่ต้องชำระต่อเดือนไม่เปลี่ยนไป แต่ค่างวดดังกล่าวจะถูกนำไปชำระดอกเบี้ยที่ปรับตัวสูงขึ้น และเหลือส่วนต่างที่จะนำไปตัดเงินต้นได้ลดลง หมายความว่าผลกระทบของผู้บริโภคในกลุ่มนี้จะอยู่ในรูปแบบของระยะเวลาในการผ่อนชำระที่มีโอกาสนานขึ้นหากอัตราดอกเบี้ยยังคงเป็นขาขึ้นอย่างต่อเนื่อง </w:t>
      </w:r>
    </w:p>
    <w:p w14:paraId="74062652" w14:textId="7004E507" w:rsidR="00FA4B34" w:rsidRPr="00FA4B34" w:rsidRDefault="00FA4B34" w:rsidP="00635174">
      <w:pPr>
        <w:spacing w:line="360" w:lineRule="exact"/>
        <w:ind w:left="720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</w:pP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ส่วนผลกระทบต่อ </w:t>
      </w:r>
      <w:r w:rsidRPr="00FA4B34">
        <w:rPr>
          <w:rFonts w:ascii="Cordia New" w:eastAsiaTheme="minorEastAsia" w:hAnsi="Cordia New" w:cs="Cordia New"/>
          <w:i/>
          <w:iCs/>
          <w:color w:val="000000" w:themeColor="text1"/>
          <w:kern w:val="24"/>
          <w:sz w:val="28"/>
          <w:cs/>
        </w:rPr>
        <w:t xml:space="preserve">ผู้ที่มีความสนใจจะขอสินเชื่อเพื่อที่อยู่อาศัยใน 1-2 ปีนี้ 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คือ การลดลงของมูลค่าที่อยู่อาศัยสูงสุดที่สามารถซื้อได้ โดย เราคาดว่าทุกๆ การขึ้นดอกเบี้ย 1% มีแนวโน้มจะทำให้มูลค่าที่อยู่อาศัยสูงสุดที่ผู้บริโภคสามารถซื้อได้ลดลงไปราว 10% </w:t>
      </w:r>
      <w:r w:rsidR="00635174"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6"/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ยกตัวอย่างเช่น ที่อัตราดอกเบี้ยเฉลี่ย 5% ผู้บริโภคที่มีกำลังผ่อน 6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000 บาท/เดือนจะสามารถกู้ซื้อที่อยู่อาศัยได้ในราคาสูงสุดราว 1 ล้านบาท แต่หากอัตราดอกเบี้ยเฉลี่ยขึ้นเป็น 6% ผู้บริโภคจะต้องมีกำลังผ่อน 6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700 บาท/เดือน ถึงจะสามารถกู้ซื้อที่อยู่อาศัยในราคาเดิมได้ ดังนั้นหากผู้บริโภคมีกำลังผ่อนเท่าเดิมที่ 6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000 บาท/เดือน ก็จำเป็นต้องซื้อที่อยู่อาศัยในราคาที่ถูกลงมาที่ 900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FA4B3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000 บาท เป็นการทดแทน </w:t>
      </w:r>
    </w:p>
    <w:p w14:paraId="2AF91299" w14:textId="01DB7861" w:rsidR="00FA4B34" w:rsidRPr="00635174" w:rsidRDefault="005A2258" w:rsidP="00635174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</w:pPr>
      <w:r>
        <w:rPr>
          <w:rFonts w:ascii="Cordia New" w:eastAsiaTheme="minorEastAsia" w:hAnsi="Cordia New" w:cs="Cordia New"/>
          <w:noProof/>
          <w:color w:val="000000" w:themeColor="text1"/>
          <w:kern w:val="24"/>
          <w:sz w:val="28"/>
          <w:lang w:val="th-TH"/>
        </w:rPr>
        <w:lastRenderedPageBreak/>
        <w:drawing>
          <wp:anchor distT="0" distB="0" distL="114300" distR="114300" simplePos="0" relativeHeight="251665408" behindDoc="0" locked="0" layoutInCell="1" allowOverlap="1" wp14:anchorId="57C19FBF" wp14:editId="388D88D2">
            <wp:simplePos x="0" y="0"/>
            <wp:positionH relativeFrom="column">
              <wp:posOffset>69850</wp:posOffset>
            </wp:positionH>
            <wp:positionV relativeFrom="paragraph">
              <wp:posOffset>2470785</wp:posOffset>
            </wp:positionV>
            <wp:extent cx="5943600" cy="175958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B34" w:rsidRPr="0063517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u w:val="single"/>
          <w:cs/>
        </w:rPr>
        <w:t>ผลต่อผู้พัฒนาที่อยู่อาศัย</w:t>
      </w:r>
      <w:r w:rsidR="00FA4B34" w:rsidRPr="0063517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: การขึ้นอัตราดอกเบี้ยจะส่งผลให้ผู้พัฒนาที่อยู่อาศัยมีต้นทุนทางการเงินที่สูงขึ้น โดยเมื่อกำหนดให้ปัจจัยอื่นๆ คงที่ </w:t>
      </w:r>
      <w:r w:rsidR="00FA4B34" w:rsidRPr="0063517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 xml:space="preserve">Krungthai COMPASS </w:t>
      </w:r>
      <w:r w:rsidR="00FA4B34" w:rsidRPr="0063517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คาดว่าทุกๆ การขึ้นอัตราดอกเบี้ย 1% จะส่งผลให้ผู้พัฒนาที่อยู่อาศัยมี </w:t>
      </w:r>
      <w:r w:rsidR="00FA4B34" w:rsidRPr="0063517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Net</w:t>
      </w:r>
      <w:r w:rsidR="00FA4B34" w:rsidRPr="0063517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</w:t>
      </w:r>
      <w:r w:rsidR="00FA4B34" w:rsidRPr="0063517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Profit</w:t>
      </w:r>
      <w:r w:rsidR="00FA4B34" w:rsidRPr="0063517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</w:t>
      </w:r>
      <w:r w:rsidR="00FA4B34" w:rsidRPr="0063517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Margin</w:t>
      </w:r>
      <w:r w:rsidR="00FA4B34" w:rsidRPr="0063517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ลดลงโดยเฉลี่ยที่ -0.56% เทรนด์ดอกเบี้ยขาขึ้นใน 1-2 ปีนี้จึงเป็นปัจจัยกดดันต่อการทำกำไรของผู้พัฒนาที่อยู่อาศัย (รูปที่ </w:t>
      </w:r>
      <w:r w:rsidR="00FA4B34" w:rsidRPr="0063517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6)</w:t>
      </w:r>
      <w:r w:rsidR="00FA4B34" w:rsidRPr="0063517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</w:t>
      </w:r>
      <w:r w:rsidR="00FA4B34" w:rsidRPr="0063517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อย่างไรก็ดี ผลกระทบของการขึ้นอัตราดอกเบี้ยต่อ </w:t>
      </w:r>
      <w:r w:rsidR="00FA4B34" w:rsidRPr="0063517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Net</w:t>
      </w:r>
      <w:r w:rsidR="00FA4B34" w:rsidRPr="0063517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="00FA4B34" w:rsidRPr="0063517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Profit Margin</w:t>
      </w:r>
      <w:r w:rsidR="00FA4B34" w:rsidRPr="0063517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ของผู้พัฒนาที่อยู่อาศัยแต่ละรายยังขึ้นอยู่กับหลายปัจจัย อาทิ สัดส่วนการพึ่งพาแหล่งเงินทุนจากสินเชื่อ (</w:t>
      </w:r>
      <w:r w:rsidR="00FA4B34" w:rsidRPr="0063517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Loan)</w:t>
      </w:r>
      <w:r w:rsidR="00FA4B34" w:rsidRPr="0063517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และหุ้นกู้ (</w:t>
      </w:r>
      <w:r w:rsidR="00FA4B34" w:rsidRPr="0063517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Bond)</w:t>
      </w:r>
      <w:r w:rsidR="00FA4B34" w:rsidRPr="0063517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ต่อส่วนของเจ้าของ สัดส่วนของสินเชื่อและหุ้นกู้ที่กำหนดให้จ่ายดอกเบี้ยในอัตราผันแปร (</w:t>
      </w:r>
      <w:r w:rsidR="00FA4B34" w:rsidRPr="0063517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Float</w:t>
      </w:r>
      <w:r w:rsidR="00FA4B34" w:rsidRPr="0063517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="00FA4B34" w:rsidRPr="0063517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Rate)</w:t>
      </w:r>
      <w:r w:rsidR="00FA4B34" w:rsidRPr="0063517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รวมถึงการครบกำหนดชำระของหุ้นกู้ โดยหากผู้พัฒนาที่อยู่อาศัยรายใดมีการใช้แหล่งเงินทุนจาก </w:t>
      </w:r>
      <w:r w:rsidR="00FA4B34" w:rsidRPr="0063517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Loan</w:t>
      </w:r>
      <w:r w:rsidR="00FA4B34" w:rsidRPr="0063517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และ </w:t>
      </w:r>
      <w:r w:rsidR="00FA4B34" w:rsidRPr="0063517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Bond </w:t>
      </w:r>
      <w:r w:rsidR="00FA4B34" w:rsidRPr="0063517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ในรูปแบบ </w:t>
      </w:r>
      <w:r w:rsidR="00FA4B34" w:rsidRPr="0063517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Float</w:t>
      </w:r>
      <w:r w:rsidR="00FA4B34" w:rsidRPr="0063517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="00FA4B34" w:rsidRPr="0063517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Rate</w:t>
      </w:r>
      <w:r w:rsidR="00FA4B34" w:rsidRPr="0063517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ที่มาก หรือมีความจำเป็นที่จะต้อง </w:t>
      </w:r>
      <w:r w:rsidR="00FA4B34" w:rsidRPr="0063517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Rollover</w:t>
      </w:r>
      <w:r w:rsidR="00FA4B34" w:rsidRPr="0063517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หุ้นกู้เพื่อนำมาชำระหุ้นกู้เดิมก็มีโอกาสที่จะได้รับผลกระทบจากการขึ้นอัตราดอกเบี้ยที่สูงกว่าผู้พัฒนาที่อยู่อาศัยรายอื่นๆ </w:t>
      </w:r>
    </w:p>
    <w:p w14:paraId="11B1E642" w14:textId="70DB3BDA" w:rsidR="00635174" w:rsidRDefault="00635174" w:rsidP="00635174">
      <w:pPr>
        <w:spacing w:line="360" w:lineRule="exact"/>
        <w:jc w:val="thaiDistribute"/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</w:pPr>
    </w:p>
    <w:p w14:paraId="25941E25" w14:textId="3E554656" w:rsidR="00635174" w:rsidRDefault="00635174" w:rsidP="00635174">
      <w:pPr>
        <w:spacing w:line="360" w:lineRule="exact"/>
        <w:jc w:val="thaiDistribute"/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</w:pPr>
    </w:p>
    <w:p w14:paraId="6878235D" w14:textId="63F1839F" w:rsidR="00635174" w:rsidRDefault="00635174" w:rsidP="00635174">
      <w:pPr>
        <w:spacing w:line="360" w:lineRule="exact"/>
        <w:jc w:val="thaiDistribute"/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</w:pPr>
    </w:p>
    <w:p w14:paraId="435346A0" w14:textId="6CC9361F" w:rsidR="00635174" w:rsidRDefault="00635174" w:rsidP="00635174">
      <w:pPr>
        <w:spacing w:line="360" w:lineRule="exact"/>
        <w:jc w:val="thaiDistribute"/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</w:pPr>
    </w:p>
    <w:p w14:paraId="7E2E46D5" w14:textId="50605815" w:rsidR="00635174" w:rsidRDefault="00635174" w:rsidP="00635174">
      <w:pPr>
        <w:spacing w:line="360" w:lineRule="exact"/>
        <w:jc w:val="thaiDistribute"/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</w:pPr>
    </w:p>
    <w:p w14:paraId="1B1FFD77" w14:textId="354B7DEC" w:rsidR="00635174" w:rsidRDefault="00635174" w:rsidP="00635174">
      <w:pPr>
        <w:spacing w:line="360" w:lineRule="exact"/>
        <w:jc w:val="thaiDistribute"/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</w:pPr>
    </w:p>
    <w:p w14:paraId="2C2A8959" w14:textId="76E3E12A" w:rsidR="00635174" w:rsidRDefault="00635174" w:rsidP="00635174">
      <w:pPr>
        <w:spacing w:line="360" w:lineRule="exact"/>
        <w:jc w:val="thaiDistribute"/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</w:pPr>
    </w:p>
    <w:p w14:paraId="1F41ED30" w14:textId="77777777" w:rsidR="00635174" w:rsidRDefault="00635174" w:rsidP="00635174">
      <w:pPr>
        <w:spacing w:line="360" w:lineRule="exact"/>
        <w:jc w:val="thaiDistribute"/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</w:pPr>
    </w:p>
    <w:p w14:paraId="66ACA85D" w14:textId="5BA5DF6D" w:rsidR="00635174" w:rsidRDefault="005A2258" w:rsidP="00635174">
      <w:pPr>
        <w:spacing w:line="360" w:lineRule="exact"/>
        <w:jc w:val="thaiDistribute"/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</w:pPr>
      <w:r>
        <w:rPr>
          <w:rFonts w:ascii="Cordia New" w:eastAsiaTheme="minorEastAsia" w:hAnsi="Cordia New" w:cs="Cordia New" w:hint="cs"/>
          <w:noProof/>
          <w:color w:val="000000" w:themeColor="text1"/>
          <w:kern w:val="24"/>
          <w:sz w:val="28"/>
          <w:lang w:val="th-TH"/>
        </w:rPr>
        <w:lastRenderedPageBreak/>
        <w:drawing>
          <wp:anchor distT="0" distB="0" distL="114300" distR="114300" simplePos="0" relativeHeight="251663360" behindDoc="0" locked="0" layoutInCell="1" allowOverlap="1" wp14:anchorId="6B98098F" wp14:editId="70B6FB5A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5943600" cy="4575175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257AC" w14:textId="08B37BC3" w:rsidR="00635174" w:rsidRDefault="00635174" w:rsidP="00635174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63517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>ต้นทุนพัฒนาโครงการยังอยู่ในระดับสูงต่อเนื่อง: ราคาวัสดุก่อสร้างหลายรายการปรับตัวสูงขึ้นมากใน 1</w:t>
      </w:r>
      <w:r w:rsidRPr="0063517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H/65</w:t>
      </w:r>
      <w:r w:rsidRPr="0063517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โดยเฉพาะเหล็กและปูนซีเมนต์ เช่นเดียวกับราคาที่ดินซึ่งยังเติบโตต่อเนื่องแม้จะอยู่ในภาวะการแพร่ระบาดของ </w:t>
      </w:r>
      <w:r w:rsidRPr="0063517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COVID-19</w:t>
      </w:r>
      <w:r w:rsidRPr="00635174"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  <w:cs/>
        </w:rPr>
        <w:t xml:space="preserve"> หรือแม้ในภาวะเศรษฐกิจที่ไม่ได้เติบโตเร็วนักก็ตาม </w:t>
      </w:r>
      <w:r w:rsidRPr="0063517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ทั้งนี้ ใน 1</w:t>
      </w:r>
      <w:r w:rsidRPr="0063517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H/65</w:t>
      </w:r>
      <w:r w:rsidRPr="0063517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</w:t>
      </w:r>
      <w:r w:rsidRPr="00635174">
        <w:rPr>
          <w:rFonts w:ascii="Cordia New" w:eastAsiaTheme="minorEastAsia" w:hAnsi="Cordia New" w:cs="Cordia New"/>
          <w:i/>
          <w:iCs/>
          <w:color w:val="000000" w:themeColor="text1"/>
          <w:kern w:val="24"/>
          <w:sz w:val="28"/>
          <w:cs/>
        </w:rPr>
        <w:t xml:space="preserve">ราคาวัสดุก่อสร้างโดยรวม </w:t>
      </w:r>
      <w:r w:rsidRPr="0063517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ปรับตัวสูงขึ้นไปแล้ว 5.8% จากปี 2564 เร่งตัวขึ้นกว่าค่าเฉลี่ย 5 ปีย้อนหลังที่เพิ่มขึ้นปีละ 1.9% อย่างเห็นได้ชัด โดย ราคาเหล็กปรับเพิ่มขึ้นมากสุดที่ 10.3% รองลงมาได้แก่ปูนซีเมนต์ 5.3% ไม้และผลิตภัณฑ์ไม้ 4.2% กระเบื้อง 4% และอุปกรณ์ไฟฟ้าและประปา</w:t>
      </w:r>
      <w:r>
        <w:rPr>
          <w:rStyle w:val="FootnoteReference"/>
          <w:rFonts w:ascii="Cordia New" w:eastAsiaTheme="minorEastAsia" w:hAnsi="Cordia New" w:cs="Cordia New"/>
          <w:color w:val="000000" w:themeColor="text1"/>
          <w:kern w:val="24"/>
          <w:sz w:val="28"/>
          <w:cs/>
        </w:rPr>
        <w:footnoteReference w:id="7"/>
      </w:r>
      <w:r w:rsidRPr="0063517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3.8% โดย สำหรับวัสดุก่อสร้างหลักอย่าง </w:t>
      </w:r>
      <w:r w:rsidRPr="00635174">
        <w:rPr>
          <w:rFonts w:ascii="Cordia New" w:eastAsiaTheme="minorEastAsia" w:hAnsi="Cordia New" w:cs="Cordia New"/>
          <w:i/>
          <w:iCs/>
          <w:color w:val="000000" w:themeColor="text1"/>
          <w:kern w:val="24"/>
          <w:sz w:val="28"/>
          <w:cs/>
        </w:rPr>
        <w:t xml:space="preserve">ราคาเหล็ก </w:t>
      </w:r>
      <w:r w:rsidRPr="0063517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คาดว่าแม้สถานการณ์ในภาคอสังหาฯ ของจีนจะทำให้ความต้องการใช้เหล็กลดลงซึ่งส่งผลต่อเนื่องให้ราคาเหล็กมีแนวโน้มปรับตัวลงแรงใน 2</w:t>
      </w:r>
      <w:r w:rsidRPr="0063517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H/65</w:t>
      </w:r>
      <w:r w:rsidRPr="0063517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แต่ราคาเหล็กโดยเฉลี่ยในปี 2565-66 คาดว่าจะยังยืนอยู่ในระดับสูงที่ 23</w:t>
      </w:r>
      <w:r w:rsidRPr="0063517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63517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500-24</w:t>
      </w:r>
      <w:r w:rsidRPr="0063517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63517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000 บาท/ตัน เมื่อเทียบกับค่าเฉลี่ยใน 5 ปีหลังสุดที่ 20</w:t>
      </w:r>
      <w:r w:rsidRPr="0063517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63517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800 บาท/ตัน เช่นเดียวกับราคาวัสดุก่อสร้างอื่นๆ ที่มีแนวโน้มอยู่ในระดับสูงต่อเนื่องในช่วง 1-2 ปีนี้จากต้นทุนพลังงานและวัตถุดิบที่ยังอยู่ในระดับสูงกว่าในอดีต ส่วนด้าน </w:t>
      </w:r>
      <w:r w:rsidRPr="00635174">
        <w:rPr>
          <w:rFonts w:ascii="Cordia New" w:eastAsiaTheme="minorEastAsia" w:hAnsi="Cordia New" w:cs="Cordia New"/>
          <w:i/>
          <w:iCs/>
          <w:color w:val="000000" w:themeColor="text1"/>
          <w:kern w:val="24"/>
          <w:sz w:val="28"/>
          <w:cs/>
        </w:rPr>
        <w:t xml:space="preserve">ราคาที่ดิน </w:t>
      </w:r>
      <w:r w:rsidRPr="0063517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พบว่ายังคงปรับตัวสูงขึ้นต่อเนื่องจากดัชนีราคาที่ดินในกรุงเทพฯ และปริมณฑลใน 1</w:t>
      </w:r>
      <w:r w:rsidRPr="0063517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H/65</w:t>
      </w:r>
      <w:r w:rsidRPr="00635174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ที่ยังสูงขึ้น 2.6% จากค่าเฉลี่ยปี 2564 ส่งผลการพัฒนาโครงการใหม่ๆ จะมีต้นทุนที่สูงขึ้น (รูปที่ </w:t>
      </w:r>
      <w:r w:rsidRPr="00635174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7)</w:t>
      </w:r>
    </w:p>
    <w:p w14:paraId="1D1174A4" w14:textId="1E6AEE1A" w:rsidR="00435A40" w:rsidRDefault="00435A40" w:rsidP="00435A40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>
        <w:rPr>
          <w:rFonts w:ascii="Cordia New" w:eastAsiaTheme="minorEastAsia" w:hAnsi="Cordia New" w:cs="Cordia New"/>
          <w:noProof/>
          <w:color w:val="000000" w:themeColor="text1"/>
          <w:kern w:val="24"/>
          <w:sz w:val="28"/>
        </w:rPr>
        <w:lastRenderedPageBreak/>
        <w:drawing>
          <wp:anchor distT="0" distB="0" distL="114300" distR="114300" simplePos="0" relativeHeight="251664384" behindDoc="0" locked="0" layoutInCell="1" allowOverlap="1" wp14:anchorId="5C01A10E" wp14:editId="09AF1FFD">
            <wp:simplePos x="0" y="0"/>
            <wp:positionH relativeFrom="column">
              <wp:posOffset>-31750</wp:posOffset>
            </wp:positionH>
            <wp:positionV relativeFrom="paragraph">
              <wp:posOffset>889000</wp:posOffset>
            </wp:positionV>
            <wp:extent cx="5943600" cy="6998335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A40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ทั้งนี้ สำหรับการปรับขึ้น</w:t>
      </w:r>
      <w:r w:rsidRPr="00435A40">
        <w:rPr>
          <w:rFonts w:ascii="Cordia New" w:eastAsiaTheme="minorEastAsia" w:hAnsi="Cordia New" w:cs="Cordia New"/>
          <w:i/>
          <w:iCs/>
          <w:color w:val="000000" w:themeColor="text1"/>
          <w:kern w:val="24"/>
          <w:sz w:val="28"/>
          <w:cs/>
        </w:rPr>
        <w:t>ค่าจ้างแรงงาน</w:t>
      </w:r>
      <w:r w:rsidRPr="00435A40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ขั้นต่ำคาดว่าจะกระทบภาคอสังหาฯ บ้างแต่มีแนวโน้มที่จะไม่มากนัก เนื่องจากค่าจ้างแรงงานโดยส่วนใหญ่ในภาคธุรกิจก่อสร้างที่อยู่อาศัยสูงเกินค่าแรงขั้นต่ำอยู่ก่อนแล้ว นอกจากนี้ ในปัจจุบันยังมีการใช้เทคโนโลยีก่อสร้างบ้านด้วยระบบ </w:t>
      </w:r>
      <w:r w:rsidRPr="00435A40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Precast</w:t>
      </w:r>
      <w:r w:rsidRPr="00435A40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มากขึ้น ซึ่งช่วยลดการใช้จำนวนแรงงานไปได้ในระดับหนึ่ง</w:t>
      </w:r>
    </w:p>
    <w:p w14:paraId="073D0FF9" w14:textId="4C9A8398" w:rsidR="00435A40" w:rsidRDefault="00435A40" w:rsidP="00435A40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</w:p>
    <w:p w14:paraId="5EB74AA3" w14:textId="38B7490D" w:rsidR="00435A40" w:rsidRDefault="00435A40" w:rsidP="00435A40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</w:p>
    <w:p w14:paraId="6A7A3889" w14:textId="567915F9" w:rsidR="00435A40" w:rsidRDefault="00435A40" w:rsidP="00435A40">
      <w:pPr>
        <w:spacing w:line="360" w:lineRule="exact"/>
        <w:jc w:val="thaiDistribute"/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</w:pPr>
      <w:r>
        <w:rPr>
          <w:rFonts w:ascii="Cordia New" w:eastAsiaTheme="minorEastAsia" w:hAnsi="Cordia New" w:cs="Cordia New" w:hint="cs"/>
          <w:b/>
          <w:bCs/>
          <w:color w:val="000000" w:themeColor="text1"/>
          <w:kern w:val="24"/>
          <w:sz w:val="28"/>
          <w:cs/>
        </w:rPr>
        <w:lastRenderedPageBreak/>
        <w:t>สรุป</w:t>
      </w:r>
      <w:r>
        <w:rPr>
          <w:rFonts w:ascii="Cordia New" w:eastAsiaTheme="minorEastAsia" w:hAnsi="Cordia New" w:cs="Cordia New"/>
          <w:b/>
          <w:bCs/>
          <w:color w:val="000000" w:themeColor="text1"/>
          <w:kern w:val="24"/>
          <w:sz w:val="28"/>
        </w:rPr>
        <w:t>:</w:t>
      </w:r>
    </w:p>
    <w:p w14:paraId="07105EEF" w14:textId="77777777" w:rsidR="00435A40" w:rsidRPr="00435A40" w:rsidRDefault="00435A40" w:rsidP="00435A40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  <w:r w:rsidRPr="00435A40">
        <w:rPr>
          <w:rFonts w:ascii="Cordia New" w:eastAsiaTheme="minorEastAsia" w:hAnsi="Cordia New" w:cs="Cordia New"/>
          <w:color w:val="000000" w:themeColor="text1"/>
          <w:kern w:val="24"/>
          <w:sz w:val="28"/>
        </w:rPr>
        <w:t xml:space="preserve">Krungthai COMPASS </w:t>
      </w:r>
      <w:r w:rsidRPr="00435A40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มองตลาดที่อยู่อาศัยในช่วงปี 2565-66 ว่าจะอยู่ในทิศทางขยายตัวทั้งในฝั่งของความต้องการซื้อจากการเติบโตของภาวะเศรษฐกิจและการกลับมาของกำลังซื้อต่างชาติ เช่นเดียวกับการเปิดโครงการใหม่ๆ ของผู้พัฒนาที่อยู่อาศัยที่จะกลับมาอยู่ในระดับปีละ 90</w:t>
      </w:r>
      <w:r w:rsidRPr="00435A40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435A40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>000-100</w:t>
      </w:r>
      <w:r w:rsidRPr="00435A40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,</w:t>
      </w:r>
      <w:r w:rsidRPr="00435A40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000 ยูนิต อีกครั้งเพื่อชดเชยการเปิดโครงการใหม่ในระดับต่ำเมื่อ 1-2 ปีที่ผ่านมา นอกจากนี้ ตลาดที่อยู่อาศัยยังมี </w:t>
      </w:r>
      <w:r w:rsidRPr="00435A40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Upside</w:t>
      </w:r>
      <w:r w:rsidRPr="00435A40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จากมาตรการสนับสนุนของภาครัฐทั้งมาตรการผ่อนปรน </w:t>
      </w:r>
      <w:r w:rsidRPr="00435A40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LTV</w:t>
      </w:r>
      <w:r w:rsidRPr="00435A40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และมาตรการลดค่าธรรมเนียมโอน-จำนองที่มีโอกาสจะต่ออายุอีก 1 ปี จากเดิมที่กำลังจะหมดอายุลงในปลายปี 2565 นี้ โดยในปัจจุบัน กระทรวงการคลังกำลังอยู่ในระหว่างการหารือกับ ธปท.  อย่างไรก็ดี ยังต้องจับตา </w:t>
      </w:r>
      <w:r w:rsidRPr="00435A40">
        <w:rPr>
          <w:rFonts w:ascii="Cordia New" w:eastAsiaTheme="minorEastAsia" w:hAnsi="Cordia New" w:cs="Cordia New"/>
          <w:color w:val="000000" w:themeColor="text1"/>
          <w:kern w:val="24"/>
          <w:sz w:val="28"/>
        </w:rPr>
        <w:t>Downside</w:t>
      </w:r>
      <w:r w:rsidRPr="00435A40"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  <w:t xml:space="preserve"> ของตลาดที่อยู่อาศัยทั้ง 1) ดอกเบี้ยขาขึ้น ซึ่งเราประเมินว่าทุกๆ การขึ้นดอกเบี้ย 1% จะทำให้มูลค่าที่อยู่อาศัยสูงสุดที่ผู้บริโภคสามารถซื้อได้ลดลงไปราว 10% และทำให้ผู้พัฒนาที่อยู่อาศัยมีกำไรสุทธิลดลง -0.56% ผ่านต้นทุนทางการเงินที่สูงขึ้น และ 2) ต้นทุนพัฒนาโครงการที่ยังอยู่ในระดับสูงจากราคาวัสดุก่อสร้างที่ยังยืนสูง และราคาที่ดินที่ปรับตัวสูงขึ้นต่อเนื่อง</w:t>
      </w:r>
    </w:p>
    <w:p w14:paraId="7E4CE871" w14:textId="77777777" w:rsidR="00435A40" w:rsidRPr="00435A40" w:rsidRDefault="00435A40" w:rsidP="00435A40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</w:p>
    <w:p w14:paraId="689F9445" w14:textId="0C0303CB" w:rsidR="00435A40" w:rsidRPr="00635174" w:rsidRDefault="00435A40" w:rsidP="00635174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</w:rPr>
      </w:pPr>
    </w:p>
    <w:p w14:paraId="0ECA43E7" w14:textId="6D243E32" w:rsidR="00635174" w:rsidRPr="001C5592" w:rsidRDefault="00635174" w:rsidP="001C5592">
      <w:pPr>
        <w:spacing w:line="360" w:lineRule="exact"/>
        <w:jc w:val="thaiDistribute"/>
        <w:rPr>
          <w:rFonts w:ascii="Cordia New" w:eastAsiaTheme="minorEastAsia" w:hAnsi="Cordia New" w:cs="Cordia New"/>
          <w:color w:val="000000" w:themeColor="text1"/>
          <w:kern w:val="24"/>
          <w:sz w:val="28"/>
          <w:cs/>
        </w:rPr>
      </w:pPr>
    </w:p>
    <w:sectPr w:rsidR="00635174" w:rsidRPr="001C5592" w:rsidSect="00CC4422">
      <w:pgSz w:w="12240" w:h="15840"/>
      <w:pgMar w:top="1440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1C2558" w14:textId="77777777" w:rsidR="003412F9" w:rsidRDefault="003412F9" w:rsidP="00DE657B">
      <w:pPr>
        <w:spacing w:after="0" w:line="240" w:lineRule="auto"/>
      </w:pPr>
      <w:r>
        <w:separator/>
      </w:r>
    </w:p>
  </w:endnote>
  <w:endnote w:type="continuationSeparator" w:id="0">
    <w:p w14:paraId="1B4C8740" w14:textId="77777777" w:rsidR="003412F9" w:rsidRDefault="003412F9" w:rsidP="00DE6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562E90" w14:textId="77777777" w:rsidR="003412F9" w:rsidRDefault="003412F9" w:rsidP="00DE657B">
      <w:pPr>
        <w:spacing w:after="0" w:line="240" w:lineRule="auto"/>
      </w:pPr>
      <w:r>
        <w:separator/>
      </w:r>
    </w:p>
  </w:footnote>
  <w:footnote w:type="continuationSeparator" w:id="0">
    <w:p w14:paraId="0A6F8D0C" w14:textId="77777777" w:rsidR="003412F9" w:rsidRDefault="003412F9" w:rsidP="00DE657B">
      <w:pPr>
        <w:spacing w:after="0" w:line="240" w:lineRule="auto"/>
      </w:pPr>
      <w:r>
        <w:continuationSeparator/>
      </w:r>
    </w:p>
  </w:footnote>
  <w:footnote w:id="1">
    <w:p w14:paraId="0FDB10EF" w14:textId="3A131054" w:rsidR="001439F5" w:rsidRPr="001439F5" w:rsidRDefault="001439F5">
      <w:pPr>
        <w:pStyle w:val="FootnoteText"/>
        <w:rPr>
          <w:rFonts w:ascii="Cordia New" w:hAnsi="Cordia New" w:cs="Cordia New"/>
          <w:sz w:val="22"/>
          <w:szCs w:val="22"/>
          <w:cs/>
        </w:rPr>
      </w:pPr>
      <w:r w:rsidRPr="001439F5">
        <w:rPr>
          <w:rStyle w:val="FootnoteReference"/>
          <w:rFonts w:ascii="Cordia New" w:hAnsi="Cordia New" w:cs="Cordia New"/>
          <w:sz w:val="22"/>
          <w:szCs w:val="22"/>
        </w:rPr>
        <w:footnoteRef/>
      </w:r>
      <w:r w:rsidRPr="001439F5">
        <w:rPr>
          <w:rFonts w:ascii="Cordia New" w:hAnsi="Cordia New" w:cs="Cordia New"/>
          <w:sz w:val="22"/>
          <w:szCs w:val="22"/>
        </w:rPr>
        <w:t xml:space="preserve"> </w:t>
      </w:r>
      <w:r w:rsidRPr="001439F5">
        <w:rPr>
          <w:rFonts w:ascii="Cordia New" w:hAnsi="Cordia New" w:cs="Cordia New"/>
          <w:sz w:val="22"/>
          <w:szCs w:val="22"/>
          <w:cs/>
        </w:rPr>
        <w:t xml:space="preserve">อ้างอิง </w:t>
      </w:r>
      <w:hyperlink r:id="rId1" w:history="1">
        <w:r w:rsidRPr="001439F5">
          <w:rPr>
            <w:rStyle w:val="Hyperlink"/>
            <w:rFonts w:ascii="Cordia New" w:hAnsi="Cordia New" w:cs="Cordia New"/>
            <w:sz w:val="22"/>
            <w:szCs w:val="22"/>
            <w:cs/>
          </w:rPr>
          <w:t>คลังนัด ธปท.ถกยืดอายุมาตรการกระตุ้นอสังหาฯ อีก 1 ปี</w:t>
        </w:r>
      </w:hyperlink>
    </w:p>
  </w:footnote>
  <w:footnote w:id="2">
    <w:p w14:paraId="77ED078F" w14:textId="6E9DD4E6" w:rsidR="001439F5" w:rsidRPr="001439F5" w:rsidRDefault="001439F5">
      <w:pPr>
        <w:pStyle w:val="FootnoteText"/>
        <w:rPr>
          <w:rFonts w:ascii="Cordia New" w:hAnsi="Cordia New" w:cs="Cordia New"/>
          <w:sz w:val="22"/>
          <w:szCs w:val="22"/>
          <w:cs/>
        </w:rPr>
      </w:pPr>
      <w:r w:rsidRPr="001439F5">
        <w:rPr>
          <w:rStyle w:val="FootnoteReference"/>
          <w:rFonts w:ascii="Cordia New" w:hAnsi="Cordia New" w:cs="Cordia New"/>
          <w:sz w:val="22"/>
          <w:szCs w:val="22"/>
        </w:rPr>
        <w:footnoteRef/>
      </w:r>
      <w:r w:rsidRPr="001439F5">
        <w:rPr>
          <w:rFonts w:ascii="Cordia New" w:hAnsi="Cordia New" w:cs="Cordia New"/>
          <w:sz w:val="22"/>
          <w:szCs w:val="22"/>
        </w:rPr>
        <w:t xml:space="preserve"> </w:t>
      </w:r>
      <w:r w:rsidRPr="001439F5">
        <w:rPr>
          <w:rFonts w:ascii="Cordia New" w:hAnsi="Cordia New" w:cs="Cordia New"/>
          <w:sz w:val="22"/>
          <w:szCs w:val="22"/>
          <w:cs/>
        </w:rPr>
        <w:t xml:space="preserve">อ้างอิงจาก </w:t>
      </w:r>
      <w:hyperlink r:id="rId2" w:history="1">
        <w:r w:rsidRPr="001439F5">
          <w:rPr>
            <w:rStyle w:val="Hyperlink"/>
            <w:rFonts w:ascii="Cordia New" w:hAnsi="Cordia New" w:cs="Cordia New"/>
            <w:sz w:val="22"/>
            <w:szCs w:val="22"/>
          </w:rPr>
          <w:t>Bloomberg: Vancouver Tax Pushes Chinese to $1 Million Seattle Homes</w:t>
        </w:r>
      </w:hyperlink>
    </w:p>
  </w:footnote>
  <w:footnote w:id="3">
    <w:p w14:paraId="54906866" w14:textId="4D3796DE" w:rsidR="00FA4B34" w:rsidRPr="00FA4B34" w:rsidRDefault="00FA4B34">
      <w:pPr>
        <w:pStyle w:val="FootnoteText"/>
        <w:rPr>
          <w:rFonts w:ascii="Cordia New" w:hAnsi="Cordia New" w:cs="Cordia New"/>
          <w:sz w:val="22"/>
          <w:szCs w:val="22"/>
          <w:cs/>
        </w:rPr>
      </w:pPr>
      <w:r w:rsidRPr="00FA4B34">
        <w:rPr>
          <w:rStyle w:val="FootnoteReference"/>
          <w:rFonts w:ascii="Cordia New" w:hAnsi="Cordia New" w:cs="Cordia New"/>
          <w:sz w:val="22"/>
          <w:szCs w:val="22"/>
        </w:rPr>
        <w:footnoteRef/>
      </w:r>
      <w:r w:rsidRPr="00FA4B34">
        <w:rPr>
          <w:rFonts w:ascii="Cordia New" w:hAnsi="Cordia New" w:cs="Cordia New"/>
          <w:sz w:val="22"/>
          <w:szCs w:val="22"/>
        </w:rPr>
        <w:t xml:space="preserve"> </w:t>
      </w:r>
      <w:r w:rsidRPr="00FA4B34">
        <w:rPr>
          <w:rFonts w:ascii="Cordia New" w:hAnsi="Cordia New" w:cs="Cordia New"/>
          <w:sz w:val="22"/>
          <w:szCs w:val="22"/>
          <w:cs/>
        </w:rPr>
        <w:t xml:space="preserve">ประกอบด้วย </w:t>
      </w:r>
      <w:r w:rsidRPr="00FA4B34">
        <w:rPr>
          <w:rFonts w:ascii="Cordia New" w:hAnsi="Cordia New" w:cs="Cordia New"/>
          <w:sz w:val="22"/>
          <w:szCs w:val="22"/>
        </w:rPr>
        <w:t xml:space="preserve">AP, LH, LPN, ORI, PF, PSH, QH, SC, SIRI </w:t>
      </w:r>
      <w:r w:rsidRPr="00FA4B34">
        <w:rPr>
          <w:rFonts w:ascii="Cordia New" w:hAnsi="Cordia New" w:cs="Cordia New"/>
          <w:sz w:val="22"/>
          <w:szCs w:val="22"/>
          <w:cs/>
        </w:rPr>
        <w:t xml:space="preserve">และ </w:t>
      </w:r>
      <w:r w:rsidRPr="00FA4B34">
        <w:rPr>
          <w:rFonts w:ascii="Cordia New" w:hAnsi="Cordia New" w:cs="Cordia New"/>
          <w:sz w:val="22"/>
          <w:szCs w:val="22"/>
        </w:rPr>
        <w:t>SPALI</w:t>
      </w:r>
    </w:p>
  </w:footnote>
  <w:footnote w:id="4">
    <w:p w14:paraId="4806A39F" w14:textId="54CA40C8" w:rsidR="00FA4B34" w:rsidRPr="00FA4B34" w:rsidRDefault="00FA4B34" w:rsidP="00FA4B34">
      <w:pPr>
        <w:pStyle w:val="FootnoteText"/>
        <w:rPr>
          <w:rFonts w:ascii="Cordia New" w:hAnsi="Cordia New" w:cs="Cordia New"/>
          <w:sz w:val="22"/>
          <w:szCs w:val="22"/>
        </w:rPr>
      </w:pPr>
      <w:r w:rsidRPr="00FA4B34">
        <w:rPr>
          <w:rStyle w:val="FootnoteReference"/>
          <w:rFonts w:ascii="Cordia New" w:hAnsi="Cordia New" w:cs="Cordia New"/>
          <w:sz w:val="22"/>
          <w:szCs w:val="22"/>
        </w:rPr>
        <w:footnoteRef/>
      </w:r>
      <w:r w:rsidRPr="00FA4B34">
        <w:rPr>
          <w:rFonts w:ascii="Cordia New" w:hAnsi="Cordia New" w:cs="Cordia New"/>
          <w:sz w:val="22"/>
          <w:szCs w:val="22"/>
        </w:rPr>
        <w:t xml:space="preserve"> </w:t>
      </w:r>
      <w:r w:rsidRPr="00FA4B34">
        <w:rPr>
          <w:rFonts w:ascii="Cordia New" w:hAnsi="Cordia New" w:cs="Cordia New"/>
          <w:sz w:val="22"/>
          <w:szCs w:val="22"/>
          <w:cs/>
        </w:rPr>
        <w:t xml:space="preserve">ในปี 2563 การปรับลดค่าธรรมเนียม </w:t>
      </w:r>
      <w:r w:rsidRPr="00FA4B34">
        <w:rPr>
          <w:rFonts w:ascii="Cordia New" w:hAnsi="Cordia New" w:cs="Cordia New"/>
          <w:sz w:val="22"/>
          <w:szCs w:val="22"/>
        </w:rPr>
        <w:t xml:space="preserve">FIDF </w:t>
      </w:r>
      <w:r w:rsidRPr="00FA4B34">
        <w:rPr>
          <w:rFonts w:ascii="Cordia New" w:hAnsi="Cordia New" w:cs="Cordia New"/>
          <w:sz w:val="22"/>
          <w:szCs w:val="22"/>
          <w:cs/>
        </w:rPr>
        <w:t xml:space="preserve">ลงจาก 0.46% เหลือ 0.23% มีผลทำให้อัตราดอกเบี้ยเงินกู้ </w:t>
      </w:r>
      <w:r w:rsidRPr="00FA4B34">
        <w:rPr>
          <w:rFonts w:ascii="Cordia New" w:hAnsi="Cordia New" w:cs="Cordia New"/>
          <w:sz w:val="22"/>
          <w:szCs w:val="22"/>
        </w:rPr>
        <w:t xml:space="preserve">MLR MOR MRR </w:t>
      </w:r>
      <w:r w:rsidRPr="00FA4B34">
        <w:rPr>
          <w:rFonts w:ascii="Cordia New" w:hAnsi="Cordia New" w:cs="Cordia New"/>
          <w:sz w:val="22"/>
          <w:szCs w:val="22"/>
          <w:cs/>
        </w:rPr>
        <w:t xml:space="preserve">ลดลงทันที 0.40% </w:t>
      </w:r>
    </w:p>
    <w:p w14:paraId="2DBC3248" w14:textId="41BFF888" w:rsidR="00FA4B34" w:rsidRDefault="00FA4B34">
      <w:pPr>
        <w:pStyle w:val="FootnoteText"/>
        <w:rPr>
          <w:cs/>
        </w:rPr>
      </w:pPr>
    </w:p>
  </w:footnote>
  <w:footnote w:id="5">
    <w:p w14:paraId="623B4EF5" w14:textId="33B9EDEB" w:rsidR="00635174" w:rsidRPr="00635174" w:rsidRDefault="00635174">
      <w:pPr>
        <w:pStyle w:val="FootnoteText"/>
        <w:rPr>
          <w:rFonts w:ascii="Cordia New" w:hAnsi="Cordia New" w:cs="Cordia New"/>
          <w:sz w:val="22"/>
          <w:szCs w:val="22"/>
          <w:cs/>
        </w:rPr>
      </w:pPr>
      <w:r w:rsidRPr="00635174">
        <w:rPr>
          <w:rStyle w:val="FootnoteReference"/>
          <w:rFonts w:ascii="Cordia New" w:hAnsi="Cordia New" w:cs="Cordia New"/>
          <w:sz w:val="22"/>
          <w:szCs w:val="22"/>
        </w:rPr>
        <w:footnoteRef/>
      </w:r>
      <w:r w:rsidRPr="00635174">
        <w:rPr>
          <w:rFonts w:ascii="Cordia New" w:hAnsi="Cordia New" w:cs="Cordia New"/>
          <w:sz w:val="22"/>
          <w:szCs w:val="22"/>
        </w:rPr>
        <w:t xml:space="preserve"> </w:t>
      </w:r>
      <w:r w:rsidRPr="00635174">
        <w:rPr>
          <w:rFonts w:ascii="Cordia New" w:hAnsi="Cordia New" w:cs="Cordia New"/>
          <w:sz w:val="22"/>
          <w:szCs w:val="22"/>
          <w:cs/>
        </w:rPr>
        <w:t>ผลกระทบดังกล่าวนับรวมถึงผู้ที่กำลังผ่อนชำระแบบดอกเบี้ยคงที่ในช่วง 3 ปีแรกด้วยเพราะเมื่อเข้าปีที่ 4 อัตราดอกเบี้ยจะเปลี่ยนเป็นผันแปร</w:t>
      </w:r>
    </w:p>
  </w:footnote>
  <w:footnote w:id="6">
    <w:p w14:paraId="06D3337C" w14:textId="348C8E37" w:rsidR="00635174" w:rsidRDefault="00635174">
      <w:pPr>
        <w:pStyle w:val="FootnoteText"/>
        <w:rPr>
          <w:cs/>
        </w:rPr>
      </w:pPr>
      <w:r w:rsidRPr="00635174">
        <w:rPr>
          <w:rStyle w:val="FootnoteReference"/>
          <w:rFonts w:ascii="Cordia New" w:hAnsi="Cordia New" w:cs="Cordia New"/>
          <w:sz w:val="22"/>
          <w:szCs w:val="22"/>
        </w:rPr>
        <w:footnoteRef/>
      </w:r>
      <w:r w:rsidRPr="00635174">
        <w:rPr>
          <w:rFonts w:ascii="Cordia New" w:hAnsi="Cordia New" w:cs="Cordia New"/>
          <w:sz w:val="22"/>
          <w:szCs w:val="22"/>
        </w:rPr>
        <w:t xml:space="preserve"> </w:t>
      </w:r>
      <w:r w:rsidRPr="00635174">
        <w:rPr>
          <w:rFonts w:ascii="Cordia New" w:hAnsi="Cordia New" w:cs="Cordia New"/>
          <w:sz w:val="22"/>
          <w:szCs w:val="22"/>
          <w:cs/>
        </w:rPr>
        <w:t>ประเมินจากการผ่อนชำระสินเชื่อเพื่อที่อยู่อาศัยระยะเวลา 30 ปี โดยกำหนดให้อัตราดอกเบี้ยเฉลี่ยตลอดอายุสัญญาคงที่</w:t>
      </w:r>
    </w:p>
  </w:footnote>
  <w:footnote w:id="7">
    <w:p w14:paraId="3D0CC602" w14:textId="54F9AC11" w:rsidR="00635174" w:rsidRPr="00635174" w:rsidRDefault="00635174" w:rsidP="00635174">
      <w:pPr>
        <w:pStyle w:val="FootnoteText"/>
        <w:rPr>
          <w:rFonts w:ascii="Cordia New" w:hAnsi="Cordia New" w:cs="Cordia New"/>
          <w:sz w:val="22"/>
          <w:szCs w:val="22"/>
        </w:rPr>
      </w:pPr>
      <w:r w:rsidRPr="00635174">
        <w:rPr>
          <w:rStyle w:val="FootnoteReference"/>
          <w:rFonts w:ascii="Cordia New" w:hAnsi="Cordia New" w:cs="Cordia New"/>
          <w:sz w:val="22"/>
          <w:szCs w:val="22"/>
        </w:rPr>
        <w:footnoteRef/>
      </w:r>
      <w:r w:rsidRPr="00635174">
        <w:rPr>
          <w:rFonts w:ascii="Cordia New" w:hAnsi="Cordia New" w:cs="Cordia New"/>
          <w:sz w:val="22"/>
          <w:szCs w:val="22"/>
        </w:rPr>
        <w:t xml:space="preserve"> </w:t>
      </w:r>
      <w:r w:rsidRPr="00635174">
        <w:rPr>
          <w:rFonts w:ascii="Cordia New" w:hAnsi="Cordia New" w:cs="Cordia New"/>
          <w:sz w:val="22"/>
          <w:szCs w:val="22"/>
          <w:cs/>
        </w:rPr>
        <w:t xml:space="preserve">ประกอบด้วย ท่อร้อยสายไฟและสายโทรศัพท์ สายไฟฟ้า ประตูน้ำ ท่อ </w:t>
      </w:r>
      <w:r w:rsidRPr="00635174">
        <w:rPr>
          <w:rFonts w:ascii="Cordia New" w:hAnsi="Cordia New" w:cs="Cordia New"/>
          <w:sz w:val="22"/>
          <w:szCs w:val="22"/>
        </w:rPr>
        <w:t xml:space="preserve">PVC </w:t>
      </w:r>
      <w:r w:rsidRPr="00635174">
        <w:rPr>
          <w:rFonts w:ascii="Cordia New" w:hAnsi="Cordia New" w:cs="Cordia New"/>
          <w:sz w:val="22"/>
          <w:szCs w:val="22"/>
          <w:cs/>
        </w:rPr>
        <w:t>ก๊อกน้ำ และตะแกรงกรองผง เป็นต้น</w:t>
      </w:r>
    </w:p>
    <w:p w14:paraId="02D98BA0" w14:textId="2E15092E" w:rsidR="00635174" w:rsidRDefault="00635174">
      <w:pPr>
        <w:pStyle w:val="FootnoteText"/>
        <w:rPr>
          <w:cs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E7976"/>
    <w:multiLevelType w:val="hybridMultilevel"/>
    <w:tmpl w:val="EE028A8A"/>
    <w:lvl w:ilvl="0" w:tplc="692AE77C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1F2E827E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BF02006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F8A809D2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42E2344A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57A00F9C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4746B58E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8A66606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9AA7394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" w15:restartNumberingAfterBreak="0">
    <w:nsid w:val="015D0C4E"/>
    <w:multiLevelType w:val="hybridMultilevel"/>
    <w:tmpl w:val="5726D6E0"/>
    <w:lvl w:ilvl="0" w:tplc="F3E40850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AC05D2C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444E542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C4F6A702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778CB944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C3AF720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0C266B76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EAB26D1C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5A68CD7E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" w15:restartNumberingAfterBreak="0">
    <w:nsid w:val="030D3371"/>
    <w:multiLevelType w:val="hybridMultilevel"/>
    <w:tmpl w:val="D6C00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85078A"/>
    <w:multiLevelType w:val="hybridMultilevel"/>
    <w:tmpl w:val="ADFA0230"/>
    <w:lvl w:ilvl="0" w:tplc="38C42970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00A4D502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6F6E3C0C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EFC4B982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45B0F1A6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118A37FA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F088DD8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04C2C0D4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4CE4A2C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" w15:restartNumberingAfterBreak="0">
    <w:nsid w:val="04AE2DAA"/>
    <w:multiLevelType w:val="hybridMultilevel"/>
    <w:tmpl w:val="3FBA533A"/>
    <w:lvl w:ilvl="0" w:tplc="71A678D0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43F0C65A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FDF09CA0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46CA0C2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2D4B520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00A056A0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A30442A6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80EDFF2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92A6F28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5" w15:restartNumberingAfterBreak="0">
    <w:nsid w:val="08E561E1"/>
    <w:multiLevelType w:val="hybridMultilevel"/>
    <w:tmpl w:val="770A261A"/>
    <w:lvl w:ilvl="0" w:tplc="37C61CA2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DC0AF8DC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250A482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A0EE40B4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CF5EF4F6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37FE6014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37C02AD8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2070AE4E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843C70DE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6" w15:restartNumberingAfterBreak="0">
    <w:nsid w:val="11691702"/>
    <w:multiLevelType w:val="hybridMultilevel"/>
    <w:tmpl w:val="AEBE2B8A"/>
    <w:lvl w:ilvl="0" w:tplc="9CAAAA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8404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204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A4AF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E47D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1EA2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3A08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5E23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CEFC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22A0193"/>
    <w:multiLevelType w:val="hybridMultilevel"/>
    <w:tmpl w:val="29C60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D493F"/>
    <w:multiLevelType w:val="hybridMultilevel"/>
    <w:tmpl w:val="5EFC6CDE"/>
    <w:lvl w:ilvl="0" w:tplc="E7DEF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A18B2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BE02A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81689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44212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3BA0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EE8A6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64603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898C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9" w15:restartNumberingAfterBreak="0">
    <w:nsid w:val="1444228B"/>
    <w:multiLevelType w:val="hybridMultilevel"/>
    <w:tmpl w:val="E9945ABE"/>
    <w:lvl w:ilvl="0" w:tplc="C60685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96EE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C487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868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048E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78F6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A843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A031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A8CB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46812C2"/>
    <w:multiLevelType w:val="hybridMultilevel"/>
    <w:tmpl w:val="7C60D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D21AF"/>
    <w:multiLevelType w:val="hybridMultilevel"/>
    <w:tmpl w:val="00CA8F7A"/>
    <w:lvl w:ilvl="0" w:tplc="D6C4D0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6D422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392E4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F9E55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34C3C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44867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EB434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216D2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39EE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 w15:restartNumberingAfterBreak="0">
    <w:nsid w:val="198C5534"/>
    <w:multiLevelType w:val="hybridMultilevel"/>
    <w:tmpl w:val="D7C6515E"/>
    <w:lvl w:ilvl="0" w:tplc="D62A9338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79B493A2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4CCECD4C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90A6C980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054C832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9BF6DD2A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F147F44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DDEC21FE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4844830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3" w15:restartNumberingAfterBreak="0">
    <w:nsid w:val="1ADD39D5"/>
    <w:multiLevelType w:val="hybridMultilevel"/>
    <w:tmpl w:val="B71E8634"/>
    <w:lvl w:ilvl="0" w:tplc="DDF24D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0A0438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4BAED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06EF4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43289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FD20A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F1613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CCE2F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46C6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 w15:restartNumberingAfterBreak="0">
    <w:nsid w:val="1F9F440E"/>
    <w:multiLevelType w:val="hybridMultilevel"/>
    <w:tmpl w:val="F9D4F8A8"/>
    <w:lvl w:ilvl="0" w:tplc="CF4C52EE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06565698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7EA87268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9B942CD8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E40634FE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3C6A2DBC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ECD8DB5E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47E45324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B9C8852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5" w15:restartNumberingAfterBreak="0">
    <w:nsid w:val="234C5D41"/>
    <w:multiLevelType w:val="hybridMultilevel"/>
    <w:tmpl w:val="CAE07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001D93"/>
    <w:multiLevelType w:val="hybridMultilevel"/>
    <w:tmpl w:val="7682CF88"/>
    <w:lvl w:ilvl="0" w:tplc="0EFADD3C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F1BAF5B6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084E520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ACE0C1D6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4C64D56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651EBF58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40902C5A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BA4D4A6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5FC46308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7" w15:restartNumberingAfterBreak="0">
    <w:nsid w:val="2F657A6A"/>
    <w:multiLevelType w:val="hybridMultilevel"/>
    <w:tmpl w:val="FDD68278"/>
    <w:lvl w:ilvl="0" w:tplc="B36CA9BE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7D1AD556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BB44C9A0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80E41330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98C41944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B33A6BE0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E5B4EAA4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A50DA6C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F4AB214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8" w15:restartNumberingAfterBreak="0">
    <w:nsid w:val="32053176"/>
    <w:multiLevelType w:val="hybridMultilevel"/>
    <w:tmpl w:val="882C9F0A"/>
    <w:lvl w:ilvl="0" w:tplc="C11275FC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D83CF462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2A22330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67B40228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2EAAB79A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FD640DC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B1349C24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9582397A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90822DA4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9" w15:restartNumberingAfterBreak="0">
    <w:nsid w:val="34AD0055"/>
    <w:multiLevelType w:val="hybridMultilevel"/>
    <w:tmpl w:val="CF52F3FC"/>
    <w:lvl w:ilvl="0" w:tplc="A58EAA9C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96E2D1FE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AD69B36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0508497E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E1EA6E84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1F48535A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189A3D7A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A90C8A4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3F4AD4A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0" w15:restartNumberingAfterBreak="0">
    <w:nsid w:val="43067A3D"/>
    <w:multiLevelType w:val="hybridMultilevel"/>
    <w:tmpl w:val="84D8D5F0"/>
    <w:lvl w:ilvl="0" w:tplc="DD9649F2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182A6DF4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2520B2C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E27E91D8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7952DD0C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3AE9848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88B03166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5C52168C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DD6C4C0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1" w15:restartNumberingAfterBreak="0">
    <w:nsid w:val="447B71B6"/>
    <w:multiLevelType w:val="hybridMultilevel"/>
    <w:tmpl w:val="4E50A27E"/>
    <w:lvl w:ilvl="0" w:tplc="3E68AF0A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ABDA6902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F26071A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C630CA10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DF4BF6C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387685EA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D0A620F8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FB09756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68BEC0BC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2" w15:restartNumberingAfterBreak="0">
    <w:nsid w:val="49772254"/>
    <w:multiLevelType w:val="hybridMultilevel"/>
    <w:tmpl w:val="6ECE7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C0E7E"/>
    <w:multiLevelType w:val="hybridMultilevel"/>
    <w:tmpl w:val="3A5E7676"/>
    <w:lvl w:ilvl="0" w:tplc="2138D19A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8F0A04BC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8E0EB6C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C8ED386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B0654AC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DBAF18E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93AC9246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EA80DDC0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A31632F8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4" w15:restartNumberingAfterBreak="0">
    <w:nsid w:val="4C92480F"/>
    <w:multiLevelType w:val="hybridMultilevel"/>
    <w:tmpl w:val="B6625EF4"/>
    <w:lvl w:ilvl="0" w:tplc="C8E0E326">
      <w:start w:val="1"/>
      <w:numFmt w:val="bullet"/>
      <w:lvlText w:val=""/>
      <w:lvlJc w:val="left"/>
      <w:pPr>
        <w:ind w:left="720" w:hanging="360"/>
      </w:pPr>
      <w:rPr>
        <w:rFonts w:ascii="Webdings" w:hAnsi="Webdings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D566DF"/>
    <w:multiLevelType w:val="hybridMultilevel"/>
    <w:tmpl w:val="902A177C"/>
    <w:lvl w:ilvl="0" w:tplc="52B2EC30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6B54EE32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7C5418A6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16C4A4C0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EA1E383E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9A6101A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0610D276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99C83E34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CB483652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6" w15:restartNumberingAfterBreak="0">
    <w:nsid w:val="5D4A1824"/>
    <w:multiLevelType w:val="hybridMultilevel"/>
    <w:tmpl w:val="988A5EAE"/>
    <w:lvl w:ilvl="0" w:tplc="C8E0E326">
      <w:start w:val="1"/>
      <w:numFmt w:val="bullet"/>
      <w:lvlText w:val="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00B0F0"/>
      </w:rPr>
    </w:lvl>
    <w:lvl w:ilvl="1" w:tplc="072ED2EA" w:tentative="1">
      <w:start w:val="1"/>
      <w:numFmt w:val="bullet"/>
      <w:lvlText w:val="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2" w:tplc="E128492C" w:tentative="1">
      <w:start w:val="1"/>
      <w:numFmt w:val="bullet"/>
      <w:lvlText w:val="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B0B80412" w:tentative="1">
      <w:start w:val="1"/>
      <w:numFmt w:val="bullet"/>
      <w:lvlText w:val=""/>
      <w:lvlJc w:val="left"/>
      <w:pPr>
        <w:tabs>
          <w:tab w:val="num" w:pos="2880"/>
        </w:tabs>
        <w:ind w:left="2880" w:hanging="360"/>
      </w:pPr>
      <w:rPr>
        <w:rFonts w:ascii="Webdings" w:hAnsi="Webdings" w:hint="default"/>
      </w:rPr>
    </w:lvl>
    <w:lvl w:ilvl="4" w:tplc="8C20172A" w:tentative="1">
      <w:start w:val="1"/>
      <w:numFmt w:val="bullet"/>
      <w:lvlText w:val=""/>
      <w:lvlJc w:val="left"/>
      <w:pPr>
        <w:tabs>
          <w:tab w:val="num" w:pos="3600"/>
        </w:tabs>
        <w:ind w:left="3600" w:hanging="360"/>
      </w:pPr>
      <w:rPr>
        <w:rFonts w:ascii="Webdings" w:hAnsi="Webdings" w:hint="default"/>
      </w:rPr>
    </w:lvl>
    <w:lvl w:ilvl="5" w:tplc="ED542CD6" w:tentative="1">
      <w:start w:val="1"/>
      <w:numFmt w:val="bullet"/>
      <w:lvlText w:val=""/>
      <w:lvlJc w:val="left"/>
      <w:pPr>
        <w:tabs>
          <w:tab w:val="num" w:pos="4320"/>
        </w:tabs>
        <w:ind w:left="4320" w:hanging="360"/>
      </w:pPr>
      <w:rPr>
        <w:rFonts w:ascii="Webdings" w:hAnsi="Webdings" w:hint="default"/>
      </w:rPr>
    </w:lvl>
    <w:lvl w:ilvl="6" w:tplc="9264700C" w:tentative="1">
      <w:start w:val="1"/>
      <w:numFmt w:val="bullet"/>
      <w:lvlText w:val=""/>
      <w:lvlJc w:val="left"/>
      <w:pPr>
        <w:tabs>
          <w:tab w:val="num" w:pos="5040"/>
        </w:tabs>
        <w:ind w:left="5040" w:hanging="360"/>
      </w:pPr>
      <w:rPr>
        <w:rFonts w:ascii="Webdings" w:hAnsi="Webdings" w:hint="default"/>
      </w:rPr>
    </w:lvl>
    <w:lvl w:ilvl="7" w:tplc="EF6CBBEE" w:tentative="1">
      <w:start w:val="1"/>
      <w:numFmt w:val="bullet"/>
      <w:lvlText w:val=""/>
      <w:lvlJc w:val="left"/>
      <w:pPr>
        <w:tabs>
          <w:tab w:val="num" w:pos="5760"/>
        </w:tabs>
        <w:ind w:left="5760" w:hanging="360"/>
      </w:pPr>
      <w:rPr>
        <w:rFonts w:ascii="Webdings" w:hAnsi="Webdings" w:hint="default"/>
      </w:rPr>
    </w:lvl>
    <w:lvl w:ilvl="8" w:tplc="194CBB4A" w:tentative="1">
      <w:start w:val="1"/>
      <w:numFmt w:val="bullet"/>
      <w:lvlText w:val=""/>
      <w:lvlJc w:val="left"/>
      <w:pPr>
        <w:tabs>
          <w:tab w:val="num" w:pos="6480"/>
        </w:tabs>
        <w:ind w:left="6480" w:hanging="360"/>
      </w:pPr>
      <w:rPr>
        <w:rFonts w:ascii="Webdings" w:hAnsi="Webdings" w:hint="default"/>
      </w:rPr>
    </w:lvl>
  </w:abstractNum>
  <w:abstractNum w:abstractNumId="27" w15:restartNumberingAfterBreak="0">
    <w:nsid w:val="5DFA7BD4"/>
    <w:multiLevelType w:val="hybridMultilevel"/>
    <w:tmpl w:val="6C0A4904"/>
    <w:lvl w:ilvl="0" w:tplc="ACC0B5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7B697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288D6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632FD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DD2ECE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512A1D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54E3A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4A20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40637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8" w15:restartNumberingAfterBreak="0">
    <w:nsid w:val="5E45557B"/>
    <w:multiLevelType w:val="hybridMultilevel"/>
    <w:tmpl w:val="2CEE0B5A"/>
    <w:lvl w:ilvl="0" w:tplc="EE9A3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B0012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12E27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7B6A7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D560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C2CE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37E94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C307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158E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9" w15:restartNumberingAfterBreak="0">
    <w:nsid w:val="6F637F35"/>
    <w:multiLevelType w:val="hybridMultilevel"/>
    <w:tmpl w:val="F6D4AA2A"/>
    <w:lvl w:ilvl="0" w:tplc="B636BC94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F7B8FC60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574CCBC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F948C00C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2BF26892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13A6237C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9C5C0384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4862566C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D8189966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0" w15:restartNumberingAfterBreak="0">
    <w:nsid w:val="6FFE3E78"/>
    <w:multiLevelType w:val="hybridMultilevel"/>
    <w:tmpl w:val="7614773C"/>
    <w:lvl w:ilvl="0" w:tplc="B3B0D9D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8B9434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3B4C4D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C748CF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5F7A55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80A958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2166BE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AE903A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99CAD3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1" w15:restartNumberingAfterBreak="0">
    <w:nsid w:val="73525B5D"/>
    <w:multiLevelType w:val="hybridMultilevel"/>
    <w:tmpl w:val="800A6A60"/>
    <w:lvl w:ilvl="0" w:tplc="470ADFD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E604A6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9285AB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FD087B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9DED2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77A688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CDA29E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788E84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0328DD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2" w15:restartNumberingAfterBreak="0">
    <w:nsid w:val="737B1633"/>
    <w:multiLevelType w:val="hybridMultilevel"/>
    <w:tmpl w:val="CB04C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7F3DF7"/>
    <w:multiLevelType w:val="hybridMultilevel"/>
    <w:tmpl w:val="DD4AFD3A"/>
    <w:lvl w:ilvl="0" w:tplc="38BAAF82">
      <w:start w:val="1"/>
      <w:numFmt w:val="bullet"/>
      <w:lvlText w:val="=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C1E4BD44" w:tentative="1">
      <w:start w:val="1"/>
      <w:numFmt w:val="bullet"/>
      <w:lvlText w:val="=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BCC8E84" w:tentative="1">
      <w:start w:val="1"/>
      <w:numFmt w:val="bullet"/>
      <w:lvlText w:val="=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E95E409A" w:tentative="1">
      <w:start w:val="1"/>
      <w:numFmt w:val="bullet"/>
      <w:lvlText w:val="=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D324E72" w:tentative="1">
      <w:start w:val="1"/>
      <w:numFmt w:val="bullet"/>
      <w:lvlText w:val="=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DC765E76" w:tentative="1">
      <w:start w:val="1"/>
      <w:numFmt w:val="bullet"/>
      <w:lvlText w:val="=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6E540F7E" w:tentative="1">
      <w:start w:val="1"/>
      <w:numFmt w:val="bullet"/>
      <w:lvlText w:val="=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EA8CB40" w:tentative="1">
      <w:start w:val="1"/>
      <w:numFmt w:val="bullet"/>
      <w:lvlText w:val="=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CE80636" w:tentative="1">
      <w:start w:val="1"/>
      <w:numFmt w:val="bullet"/>
      <w:lvlText w:val="=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4" w15:restartNumberingAfterBreak="0">
    <w:nsid w:val="7B967510"/>
    <w:multiLevelType w:val="hybridMultilevel"/>
    <w:tmpl w:val="68EED862"/>
    <w:lvl w:ilvl="0" w:tplc="A9F4A4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FCDB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3A72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6E04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CC81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EE11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3687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AEBB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20AC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6"/>
  </w:num>
  <w:num w:numId="2">
    <w:abstractNumId w:val="7"/>
  </w:num>
  <w:num w:numId="3">
    <w:abstractNumId w:val="2"/>
  </w:num>
  <w:num w:numId="4">
    <w:abstractNumId w:val="32"/>
  </w:num>
  <w:num w:numId="5">
    <w:abstractNumId w:val="10"/>
  </w:num>
  <w:num w:numId="6">
    <w:abstractNumId w:val="9"/>
  </w:num>
  <w:num w:numId="7">
    <w:abstractNumId w:val="6"/>
  </w:num>
  <w:num w:numId="8">
    <w:abstractNumId w:val="34"/>
  </w:num>
  <w:num w:numId="9">
    <w:abstractNumId w:val="33"/>
  </w:num>
  <w:num w:numId="10">
    <w:abstractNumId w:val="25"/>
  </w:num>
  <w:num w:numId="11">
    <w:abstractNumId w:val="22"/>
  </w:num>
  <w:num w:numId="12">
    <w:abstractNumId w:val="17"/>
  </w:num>
  <w:num w:numId="13">
    <w:abstractNumId w:val="13"/>
  </w:num>
  <w:num w:numId="14">
    <w:abstractNumId w:val="18"/>
  </w:num>
  <w:num w:numId="15">
    <w:abstractNumId w:val="30"/>
  </w:num>
  <w:num w:numId="16">
    <w:abstractNumId w:val="31"/>
  </w:num>
  <w:num w:numId="17">
    <w:abstractNumId w:val="19"/>
  </w:num>
  <w:num w:numId="18">
    <w:abstractNumId w:val="4"/>
  </w:num>
  <w:num w:numId="19">
    <w:abstractNumId w:val="11"/>
  </w:num>
  <w:num w:numId="20">
    <w:abstractNumId w:val="14"/>
  </w:num>
  <w:num w:numId="21">
    <w:abstractNumId w:val="27"/>
  </w:num>
  <w:num w:numId="22">
    <w:abstractNumId w:val="8"/>
  </w:num>
  <w:num w:numId="23">
    <w:abstractNumId w:val="5"/>
  </w:num>
  <w:num w:numId="24">
    <w:abstractNumId w:val="29"/>
  </w:num>
  <w:num w:numId="25">
    <w:abstractNumId w:val="1"/>
  </w:num>
  <w:num w:numId="26">
    <w:abstractNumId w:val="15"/>
  </w:num>
  <w:num w:numId="27">
    <w:abstractNumId w:val="21"/>
  </w:num>
  <w:num w:numId="28">
    <w:abstractNumId w:val="28"/>
  </w:num>
  <w:num w:numId="29">
    <w:abstractNumId w:val="23"/>
  </w:num>
  <w:num w:numId="30">
    <w:abstractNumId w:val="0"/>
  </w:num>
  <w:num w:numId="31">
    <w:abstractNumId w:val="3"/>
  </w:num>
  <w:num w:numId="32">
    <w:abstractNumId w:val="20"/>
  </w:num>
  <w:num w:numId="33">
    <w:abstractNumId w:val="12"/>
  </w:num>
  <w:num w:numId="34">
    <w:abstractNumId w:val="16"/>
  </w:num>
  <w:num w:numId="35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EC7"/>
    <w:rsid w:val="00000A74"/>
    <w:rsid w:val="00006BA1"/>
    <w:rsid w:val="000849CA"/>
    <w:rsid w:val="0009543F"/>
    <w:rsid w:val="000964D2"/>
    <w:rsid w:val="000A0C66"/>
    <w:rsid w:val="000A35AE"/>
    <w:rsid w:val="000E2C4D"/>
    <w:rsid w:val="000F1638"/>
    <w:rsid w:val="00101DE1"/>
    <w:rsid w:val="00101F22"/>
    <w:rsid w:val="0011314F"/>
    <w:rsid w:val="001439F5"/>
    <w:rsid w:val="00146E1D"/>
    <w:rsid w:val="001634A5"/>
    <w:rsid w:val="00177E26"/>
    <w:rsid w:val="001A3315"/>
    <w:rsid w:val="001B77A2"/>
    <w:rsid w:val="001C5592"/>
    <w:rsid w:val="00234C3A"/>
    <w:rsid w:val="00242708"/>
    <w:rsid w:val="0029135D"/>
    <w:rsid w:val="00293DA0"/>
    <w:rsid w:val="002A15F6"/>
    <w:rsid w:val="002A3492"/>
    <w:rsid w:val="002B3211"/>
    <w:rsid w:val="002C1F85"/>
    <w:rsid w:val="00304FA9"/>
    <w:rsid w:val="003256BC"/>
    <w:rsid w:val="00331BAF"/>
    <w:rsid w:val="003412F9"/>
    <w:rsid w:val="00356C1E"/>
    <w:rsid w:val="003579DC"/>
    <w:rsid w:val="00364A97"/>
    <w:rsid w:val="00376993"/>
    <w:rsid w:val="0038005C"/>
    <w:rsid w:val="003B54F9"/>
    <w:rsid w:val="003C20D1"/>
    <w:rsid w:val="0042132A"/>
    <w:rsid w:val="00435A40"/>
    <w:rsid w:val="00455ABD"/>
    <w:rsid w:val="004F29F1"/>
    <w:rsid w:val="004F64D8"/>
    <w:rsid w:val="00524452"/>
    <w:rsid w:val="005339EE"/>
    <w:rsid w:val="005A2258"/>
    <w:rsid w:val="005A3394"/>
    <w:rsid w:val="005B6E7A"/>
    <w:rsid w:val="00605694"/>
    <w:rsid w:val="006310C7"/>
    <w:rsid w:val="00635174"/>
    <w:rsid w:val="0065091A"/>
    <w:rsid w:val="006528DF"/>
    <w:rsid w:val="006674EB"/>
    <w:rsid w:val="006811BB"/>
    <w:rsid w:val="006A03C1"/>
    <w:rsid w:val="006A0D2E"/>
    <w:rsid w:val="006A7C08"/>
    <w:rsid w:val="006E5493"/>
    <w:rsid w:val="006F7638"/>
    <w:rsid w:val="006F7F84"/>
    <w:rsid w:val="00744EC8"/>
    <w:rsid w:val="00762CD2"/>
    <w:rsid w:val="007714E9"/>
    <w:rsid w:val="00780602"/>
    <w:rsid w:val="00783424"/>
    <w:rsid w:val="0079709D"/>
    <w:rsid w:val="007A1E31"/>
    <w:rsid w:val="007B073D"/>
    <w:rsid w:val="007E61D0"/>
    <w:rsid w:val="008058F3"/>
    <w:rsid w:val="008129D6"/>
    <w:rsid w:val="008301AA"/>
    <w:rsid w:val="00850E72"/>
    <w:rsid w:val="00876985"/>
    <w:rsid w:val="00896A1E"/>
    <w:rsid w:val="008B0A97"/>
    <w:rsid w:val="008D2712"/>
    <w:rsid w:val="008E0408"/>
    <w:rsid w:val="00901197"/>
    <w:rsid w:val="009115B3"/>
    <w:rsid w:val="0092549E"/>
    <w:rsid w:val="00933653"/>
    <w:rsid w:val="00942C03"/>
    <w:rsid w:val="009676C3"/>
    <w:rsid w:val="00970127"/>
    <w:rsid w:val="00972319"/>
    <w:rsid w:val="009A1460"/>
    <w:rsid w:val="009D0B82"/>
    <w:rsid w:val="009D404B"/>
    <w:rsid w:val="009F51D2"/>
    <w:rsid w:val="00A002ED"/>
    <w:rsid w:val="00A06662"/>
    <w:rsid w:val="00A1208D"/>
    <w:rsid w:val="00A33B22"/>
    <w:rsid w:val="00A46A21"/>
    <w:rsid w:val="00A86A1E"/>
    <w:rsid w:val="00A96C18"/>
    <w:rsid w:val="00AB4EA5"/>
    <w:rsid w:val="00AE435F"/>
    <w:rsid w:val="00B00512"/>
    <w:rsid w:val="00B24048"/>
    <w:rsid w:val="00B31870"/>
    <w:rsid w:val="00B4421C"/>
    <w:rsid w:val="00B5400A"/>
    <w:rsid w:val="00B67710"/>
    <w:rsid w:val="00B774C0"/>
    <w:rsid w:val="00BB39C4"/>
    <w:rsid w:val="00BC00EC"/>
    <w:rsid w:val="00BF1179"/>
    <w:rsid w:val="00BF619D"/>
    <w:rsid w:val="00BF77D0"/>
    <w:rsid w:val="00C00371"/>
    <w:rsid w:val="00C0102A"/>
    <w:rsid w:val="00C4630B"/>
    <w:rsid w:val="00C617AB"/>
    <w:rsid w:val="00C67FDD"/>
    <w:rsid w:val="00C72915"/>
    <w:rsid w:val="00C83FDE"/>
    <w:rsid w:val="00CA005D"/>
    <w:rsid w:val="00CC4422"/>
    <w:rsid w:val="00CC5EC7"/>
    <w:rsid w:val="00CD6683"/>
    <w:rsid w:val="00CE3151"/>
    <w:rsid w:val="00D2676D"/>
    <w:rsid w:val="00D62E7E"/>
    <w:rsid w:val="00D96B5D"/>
    <w:rsid w:val="00DB7D97"/>
    <w:rsid w:val="00DC0474"/>
    <w:rsid w:val="00DC4437"/>
    <w:rsid w:val="00DC7A32"/>
    <w:rsid w:val="00DD236B"/>
    <w:rsid w:val="00DD7915"/>
    <w:rsid w:val="00DE0AED"/>
    <w:rsid w:val="00DE657B"/>
    <w:rsid w:val="00E0792F"/>
    <w:rsid w:val="00E20276"/>
    <w:rsid w:val="00E378EF"/>
    <w:rsid w:val="00E4244C"/>
    <w:rsid w:val="00E569C2"/>
    <w:rsid w:val="00EB763D"/>
    <w:rsid w:val="00EF3F4C"/>
    <w:rsid w:val="00F016E2"/>
    <w:rsid w:val="00F072A5"/>
    <w:rsid w:val="00F23D61"/>
    <w:rsid w:val="00F844E8"/>
    <w:rsid w:val="00F96ABC"/>
    <w:rsid w:val="00FA4B34"/>
    <w:rsid w:val="00FB7102"/>
    <w:rsid w:val="00FC2BCD"/>
    <w:rsid w:val="00FC6E6B"/>
    <w:rsid w:val="00FE3975"/>
    <w:rsid w:val="00FF1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4A92D"/>
  <w15:chartTrackingRefBased/>
  <w15:docId w15:val="{61B6F369-C114-45F4-8575-48D38092D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02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C5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C5EC7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3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E657B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657B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DE65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002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02E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301A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058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8F3"/>
  </w:style>
  <w:style w:type="paragraph" w:styleId="Footer">
    <w:name w:val="footer"/>
    <w:basedOn w:val="Normal"/>
    <w:link w:val="FooterChar"/>
    <w:uiPriority w:val="99"/>
    <w:unhideWhenUsed/>
    <w:rsid w:val="008058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3420">
          <w:marLeft w:val="14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9027">
          <w:marLeft w:val="14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2188">
          <w:marLeft w:val="7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8937">
          <w:marLeft w:val="7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661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190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202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51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39914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0340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30355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37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377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18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37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0271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6601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00935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9165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864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322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990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5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2445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6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66083">
          <w:marLeft w:val="59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95865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3152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2567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9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504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8029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49464">
          <w:marLeft w:val="59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2076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5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2906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304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71375">
          <w:marLeft w:val="148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847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461748">
          <w:marLeft w:val="3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4339">
          <w:marLeft w:val="3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49194">
          <w:marLeft w:val="3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69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68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4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76287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74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668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15600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0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58921">
          <w:marLeft w:val="148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02611">
          <w:marLeft w:val="7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2942">
          <w:marLeft w:val="7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7985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3708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0480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75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453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3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47634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4629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0354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85976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02896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0447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3073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8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886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182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643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440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421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712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904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400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3284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8497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6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0070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0166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456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470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1291">
          <w:marLeft w:val="148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4247">
          <w:marLeft w:val="148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5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0778">
          <w:marLeft w:val="56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74989">
          <w:marLeft w:val="56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8882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161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341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1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12759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3173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4175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10203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4012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8230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8321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26628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1098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4417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09055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9403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1175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7127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6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1672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0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37423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847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6299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6125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3864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2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4393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8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41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6569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7895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769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65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830256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80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3820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64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0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64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07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45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676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19932">
          <w:marLeft w:val="148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2231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7995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95191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6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31541">
          <w:marLeft w:val="139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767">
          <w:marLeft w:val="139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1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6675">
          <w:marLeft w:val="8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9184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1554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17">
          <w:marLeft w:val="142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48202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8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652">
          <w:marLeft w:val="148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632">
          <w:marLeft w:val="148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2846">
          <w:marLeft w:val="148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8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5029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80870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2940">
          <w:marLeft w:val="14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3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726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599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bloomberg.com/news/articles/2016-12-04/vancouver-housing-tax-pushes-chinese-to-1-million-seattle-homes" TargetMode="External"/><Relationship Id="rId1" Type="http://schemas.openxmlformats.org/officeDocument/2006/relationships/hyperlink" Target="https://www.bangkokbiznews.com/business/101317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FF4C18-3B71-4707-9442-79B35D3C1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10</Pages>
  <Words>1777</Words>
  <Characters>10131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ปรเมศร์ รังสิพล</dc:creator>
  <cp:keywords/>
  <dc:description/>
  <cp:lastModifiedBy>Admin</cp:lastModifiedBy>
  <cp:revision>71</cp:revision>
  <dcterms:created xsi:type="dcterms:W3CDTF">2021-07-07T06:15:00Z</dcterms:created>
  <dcterms:modified xsi:type="dcterms:W3CDTF">2022-09-22T07:00:00Z</dcterms:modified>
</cp:coreProperties>
</file>