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ED" w:rsidRPr="00265CED" w:rsidRDefault="004D71EC" w:rsidP="00265CED">
      <w:pPr>
        <w:pStyle w:val="BodyA"/>
        <w:spacing w:after="240"/>
        <w:jc w:val="right"/>
        <w:rPr>
          <w:rFonts w:ascii="Cordia New" w:eastAsia="Cordia New" w:hAnsi="Cordia New" w:cs="Cordia New"/>
          <w:sz w:val="30"/>
          <w:szCs w:val="30"/>
        </w:rPr>
      </w:pPr>
      <w:r w:rsidRPr="00D44389">
        <w:rPr>
          <w:noProof/>
          <w:sz w:val="30"/>
          <w:szCs w:val="30"/>
        </w:rPr>
        <w:drawing>
          <wp:anchor distT="0" distB="0" distL="0" distR="0" simplePos="0" relativeHeight="251660288" behindDoc="0" locked="0" layoutInCell="1" allowOverlap="1" wp14:anchorId="0F6322BE" wp14:editId="69388E97">
            <wp:simplePos x="0" y="0"/>
            <wp:positionH relativeFrom="margin">
              <wp:posOffset>1197063</wp:posOffset>
            </wp:positionH>
            <wp:positionV relativeFrom="page">
              <wp:posOffset>506404</wp:posOffset>
            </wp:positionV>
            <wp:extent cx="1882687" cy="487053"/>
            <wp:effectExtent l="0" t="0" r="0" b="0"/>
            <wp:wrapSquare wrapText="bothSides" distT="0" distB="0" distL="0" distR="0"/>
            <wp:docPr id="1073741825" name="officeArt object" descr="Logo&#10;&#10;Description generated with very high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generated with very high confidence" descr="LogoDescription generated with very high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687" cy="487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44389">
        <w:rPr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1" wp14:anchorId="39C32035" wp14:editId="0DB75392">
            <wp:simplePos x="0" y="0"/>
            <wp:positionH relativeFrom="margin">
              <wp:posOffset>3251460</wp:posOffset>
            </wp:positionH>
            <wp:positionV relativeFrom="page">
              <wp:posOffset>506404</wp:posOffset>
            </wp:positionV>
            <wp:extent cx="1256490" cy="487053"/>
            <wp:effectExtent l="0" t="0" r="0" b="0"/>
            <wp:wrapNone/>
            <wp:docPr id="1073741826" name="officeArt object" descr="รูปภาพประกอบด้วย ข้อความ&#10;&#10;คำอธิบายที่สร้างโดยอัตโนมัต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รูปภาพประกอบด้วย ข้อความคำอธิบายที่สร้างโดยอัตโนมัติ" descr="รูปภาพประกอบด้วย ข้อความคำอธิบายที่สร้างโดยอัตโนมัติ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90" cy="487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44389">
        <w:rPr>
          <w:rFonts w:ascii="Cordia New" w:hAnsi="Cordia New"/>
          <w:sz w:val="30"/>
          <w:szCs w:val="30"/>
        </w:rPr>
        <w:br/>
      </w:r>
      <w:r w:rsidRPr="00D44389">
        <w:rPr>
          <w:rFonts w:ascii="Cordia New" w:hAnsi="Cordia New" w:cs="Cordia New"/>
          <w:sz w:val="30"/>
          <w:szCs w:val="30"/>
          <w:cs/>
        </w:rPr>
        <w:t xml:space="preserve">                                      </w:t>
      </w:r>
      <w:r w:rsidR="00265CED" w:rsidRPr="00265CED">
        <w:rPr>
          <w:rFonts w:ascii="Cordia New" w:eastAsia="Times New Roman" w:hAnsi="Cordia New" w:cs="Cordia New"/>
          <w:sz w:val="30"/>
          <w:szCs w:val="30"/>
          <w:bdr w:val="none" w:sz="0" w:space="0" w:color="auto"/>
        </w:rPr>
        <w:t>                                      </w:t>
      </w:r>
    </w:p>
    <w:p w:rsidR="00265CED" w:rsidRDefault="00265CED" w:rsidP="00265C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right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     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bdr w:val="none" w:sz="0" w:space="0" w:color="auto"/>
          <w:cs/>
          <w:lang w:bidi="th-TH"/>
        </w:rPr>
        <w:t>ข่าวประชาสัมพันธ์</w:t>
      </w:r>
    </w:p>
    <w:p w:rsidR="00265CED" w:rsidRPr="00265CED" w:rsidRDefault="00265CED" w:rsidP="00265C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right"/>
        <w:rPr>
          <w:rFonts w:ascii="Tahoma" w:eastAsia="Times New Roman" w:hAnsi="Tahoma" w:cs="Tahoma"/>
          <w:bdr w:val="none" w:sz="0" w:space="0" w:color="auto"/>
          <w:lang w:bidi="th-TH"/>
        </w:rPr>
      </w:pP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จอง </w:t>
      </w:r>
      <w:bookmarkStart w:id="0" w:name="_GoBack"/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“หุ้นกู้ดิจิทัล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GULF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”ผ่าน“เป๋าตัง”หมดเกลี้ยง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3,000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ล้านบาท </w:t>
      </w:r>
      <w:bookmarkEnd w:id="0"/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ตอกย้ำผู้นำการลงทุน ทั่วถึง-เท่าเทียมและยั่งยืน”</w:t>
      </w: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นักลงทุนตอกย้ำความเชื่อมั่น ตอบรับ “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หุ้นกู้ดิจิทัล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GULF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” คึกคัก จองซื้อผ่านแอปฯ “เป๋าตัง” เต็ม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3,000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ล้านบาท สะท้อนความสำเร็จการจับมือระหว่าง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บมจ.กัลฟ์ เอ็นเนอร์จี ดีเวลลอปเมนท์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และ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ธนาคารกรุงไทย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ตอบโจทย์ลงทุนยุคใหม่ ซื้อขายง่ายได้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24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ชม. “สะดวก-ทั่วถึงและเท่าเทียม”</w:t>
      </w: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นางสาวยุพาพิน วังวิวัฒน์ ประธานเจ้าหน้าที่บริหารด้านการเงิน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บริษัท กัลฟ์ เอ็นเนอร์จี ดีเวลลอปเมนท์ จำกัด (มหาชน)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หรือ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GULF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เปิดเผยว่าการเปิดจำหน่าย “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หุ้นกู้ดิจิทัล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GULF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” ครั้งนี้ถือเป็นครั้งแรกสำหรับการเสนอขายหุ้นกู้ดิจิทัล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เต็มรูปแบบของ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GULF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ผ่านช่องทางออนไลน์ บนวอลเล็ตซื้อขายหุ้นกู้ ในแอปพลิเคชัน “เป๋าตัง” เมื่อ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วันที่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15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17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สิงหาคมที่ผ่านมา ซึ่งประสบความสำเร็จเป็นอย่างดี ปิดการเสนอขายได้เต็มจำนวน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3,000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ล้านบาท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ท่ามกลางสภาวะตลาดการเงินผันผวนสะท้อนความเชื่อมั่นที่นักลงทุนมีต่อบริษัทฯ และตอบโจทย์ลงทุน “สะดวก-ทั่วถึงและเท่าเทียม”</w:t>
      </w: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บริษัทฯ ขอขอบพระคุณนักลงทุนทุกท่านที่ให้การสนับสนุนการระดมทุนของบริษัทฯ ทำให้บริษัทฯ สามารถระดมทุนได้ตามเป้าหมาย สะท้อนให้เห็นถึงความเชื่อมั่นในผลการดำเนินงานที่แข็งแกร่งและศักยภาพการเติบโตอย่างต่อเนื่องในกลุ่มธุรกิจของบริษัทฯ</w:t>
      </w:r>
      <w:r w:rsidRPr="00265CED">
        <w:rPr>
          <w:rFonts w:ascii="Cordia New" w:eastAsia="Times New Roman" w:hAnsi="Cordia New" w:cs="Cordia New"/>
          <w:color w:val="222222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โดยการออกหุ้นกู้ครั้งนี้ มีวัตถุประสงค์เพื่อชำระคืนเงินกู้ และเพื่อใช้ในการลงทุนของบริษัท และ/หรือ เพื่อขยายธุรกิจ โดยเป็นการลงทุนในกิจการที่เกี่ยวข้องกับธุรกิจ ปัจจุบัน รวมถึงกิจการในอนาคต โดยจะช่วยเสริมศักยภาพในการดำเนินธุรกิจให้เติบโต รวมถึงการบริหารจัดการสภาพคล่องทางการเงินให้อยู่ในระดับที่เหมาะสม เพื่อบรรลุเป้าหมายธุรกิจทั้งในระยะสั้นและระยะยาวของ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GULF </w:t>
      </w:r>
      <w:r w:rsidRPr="00265CED">
        <w:rPr>
          <w:rFonts w:ascii="Cordia New" w:eastAsia="Times New Roman" w:hAnsi="Cordia New" w:cs="Cordia New"/>
          <w:color w:val="242D2E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รวมถึงขอบคุณธนาคารกรุงไทย</w:t>
      </w:r>
      <w:r w:rsidRPr="00265CED">
        <w:rPr>
          <w:rFonts w:ascii="Cordia New" w:eastAsia="Times New Roman" w:hAnsi="Cordia New" w:cs="Cordia New"/>
          <w:color w:val="242D2E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242D2E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ผู้จัดการการจัดจำหน่ายหุ้นกู้ ที่ทำให้การจองซื้อราบรื่นและประสบความสำเร็จได้เป็นอย่างดี</w:t>
      </w: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นายรวินทร์ บุญญานุสาสน์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ความสำเร็จของการเสนอขาย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หุ้นกู้ดิจิทัล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GULF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ที่ปิดยอดจองครบเต็มวงเงิน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3,000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ล้านบาท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สะท้อนความเชื่อมั่นต่อธุรกิจของ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GULF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และประสิทธิภาพของระบบแอปฯ “เป๋าตัง” ที่ได้รับการพัฒนาโดย อินฟินิธัส บาย กรุงไทย (</w:t>
      </w:r>
      <w:proofErr w:type="spellStart"/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Infinitas</w:t>
      </w:r>
      <w:proofErr w:type="spellEnd"/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by </w:t>
      </w:r>
      <w:proofErr w:type="spellStart"/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Krungthai</w:t>
      </w:r>
      <w:proofErr w:type="spellEnd"/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) ให้เป็น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Thailand Open  Digital Platform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ทำให้ทุกกิจกรรมการใช้ชีวิต เป็นเรื่องง่าย สะดวก ปลอดภัย</w:t>
      </w:r>
      <w:r w:rsidR="00D17EF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               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ทำรายการได้ทุกที่ ทุกเวลา ทั้งการใช้จ่ายโครงการภาครัฐผ่าน “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G Wallet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”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ด้านสุขภาพผ่าน “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Health Wallet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” รวมถึงการออมและการลงทุนพันธบัตรรัฐบาลผ่าน “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วอลเล็ต สบม.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” การลงทุนทองคำผ่าน “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Gold Wallet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” และการลงทุนหุ้นกู้ภาคเอกชนผ่านบริการ “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ซื้อขายหุ้นกู้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”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 </w:t>
      </w: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นักลงทุนให้การตอบรับที่ดีมาก โดยเฉพาะนักลงทุนที่ต้องการการลงทุนที่มั่นคงในธุรกิจการผลิตและจำหน่ายไฟฟ้าจากก๊าซธรรมชาติและพลังงานหมุนเวียน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รวมถึงการจัดหาและจำหน่ายก๊าซธรรมชาติ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โดยมีจำนวนนักลงทุนในการเสนอขายหุ้นกู้ดิจิทัล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GULF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ครั้งนี้ทั้งหมด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10,750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คน วงเงินลงทุนขั้นต่ำเพียง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1,000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บาท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นักลงทุนกระจายตัวในทุกจังหวัดทั่วประเทศ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lastRenderedPageBreak/>
        <w:t xml:space="preserve">แบ่งเป็นกรุงเทพฯ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68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17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ของจำนวนผู้จองซื้อทั้งหมด ต่างจังหวัด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31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83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ของจำนวนผู้จองซื้อทั้งหมด และกระจายตัวทุกช่วงอายุระหว่าง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20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89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ปี โดยเฉพาะกลุ่ม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First Jobber  20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29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ปี จำนวน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8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57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ของจำนวนผู้จองซื้อทั้งหมด และกลุ่มอายุ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60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ปีขึ้นไปสูงถึง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19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26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ของจำนวนผู้จองซื้อทั้งหมด สำหรับนักลงทุนที่จองซื้อสำเร็จ สามารถตรวจสอบรายการจองซื้อได้ในวอลเล็ตซื้อขายหุ้นกู้ ผ่านเมนู "รายการย้อนหลัง" โดยรายการจะแสดงในวอลเล็ตของนักลงทุนในวันที่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18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สิงหาคม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2565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ซึ่งนับเป็นวันออกหุ้นกู้วันแรก สำหรับนักลงทุนที่พลาดโอกาสการจองซื้อหุ้นกู้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GULF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ในตลาดแรก สามารถซื้อขายในตลาดรองได้บนแอปฯ เป๋าตัง ได้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24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ชั่วโมง เริ่มตั้งแต่วันที่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18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สิงหาคม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2565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เป็นต้นไป</w:t>
      </w: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“การเสนอขายหุ้นกู้ดิจิทัล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GULF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ครั้งนี้ เป็นการต่อยอดจากการพัฒนาโครงสร้างพื้นฐานด้านดิจิทัลของธนาคาร ตอบโจทย์เป้าหมายการพัฒนาอย่างยั่งยืน (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SDGs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) ทั้งด้านการนำนวัตกรรมมาเพิ่มประสิทธิภาพ พัฒนายกระดับตลาดทุนไทย นำเสนอบริการที่สนับสนุนการเติบโตของเศรษฐกิจอย่างต่อเนื่อง ช่วยลดปัญหาสิ่งแวดล้อม เพราะเป็นผลิตภัณฑ์แบบไม่ต้องใช้เอกสาร ลดการเดินทางไปสาขา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ทำรายการบนแอปฯ เป๋าตังได้ทันที ซึ่งเป็นช่องทางที่ประชาชนส่วนใหญ่คุ้นเคย มีผู้ใช้งานกว่า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40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ล้านคน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ช่วยให้ประชาชนทุกกลุ่มเข้าถึงการลงทุนได้ทั่วถึง ลดปัญหาความเหลื่อมล้ำ มีระบบที่โปร่งใส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ปลอดภัย สามารถตรวจสอบได้ทุกขั้นตอน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โดยธนาคารพร้อมจับมือกับพันธมิตรทุกกลุ่ม เพื่อพัฒนาผลิตภัณฑ์และบริการที่ตอบโจทย์ความต้องการของลูกค้าเพื่อให้ชีวิตดีขึ้นอย่างทั่วถึงและยั่งยืน”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</w:p>
    <w:p w:rsidR="00265CED" w:rsidRPr="00265CED" w:rsidRDefault="00265CED" w:rsidP="00D17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ทั้งนี้ หุ้นกู้ดิจิทัล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GULF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เป็นหุ้นกู้ชนิดระบุชื่อผู้ถือ ไม่ด้อยสิทธิ ไม่มีหลักประกัน และมีผู้แทนผู้ถือหุ้นกู้ อายุ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4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ปี อัตราผลตอบแทน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3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50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ต่อปี และรุ่นอายุ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7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ปี อัตราผลตอบแทน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3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90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ต่อปี มูลค่ารวม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3,000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ล้านบาท กำหนดจ่ายดอกเบี้ยทุก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6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เดือน เริ่มนับจากวันออกหุ้นกู้วันแรก คือ วันที่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18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สิงหาคม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2565 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โดยเปิดให้ลงทุนเริ่มต้นเพียง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1,000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 ทวีคูณครั้งละ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1,000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 สูงสุดไม่เกิน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50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ล้านบาทต่อราย โดยหุ้นกู้ดิจิทัล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GULF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ได้รับการจัดอันดับความน่าเชื่อถือที่ระดับ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A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- จาก ทริสเรทติ้ง เมื่อวันที่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21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มิถุนายน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2565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สะท้อนความแข็งแกร่งและการเติบโตอย่างต่อเนื่องของ </w:t>
      </w:r>
      <w:r w:rsidRPr="00265CE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GULF</w:t>
      </w:r>
    </w:p>
    <w:p w:rsidR="00265CED" w:rsidRPr="00265CED" w:rsidRDefault="00265CED" w:rsidP="00265C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:rsidR="00265CED" w:rsidRPr="00265CED" w:rsidRDefault="00265CED" w:rsidP="00265C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:rsidR="00265CED" w:rsidRPr="00265CED" w:rsidRDefault="00D17EF9" w:rsidP="00265C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18</w:t>
      </w:r>
      <w:r w:rsidR="00265CED"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สิงหาคม </w:t>
      </w:r>
      <w:r w:rsidR="00265CED" w:rsidRPr="00265CE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2565</w:t>
      </w:r>
    </w:p>
    <w:p w:rsidR="004D71EC" w:rsidRPr="00D44389" w:rsidRDefault="00265CED" w:rsidP="00265CED">
      <w:pPr>
        <w:pStyle w:val="BodyA"/>
        <w:spacing w:after="240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265CED">
        <w:rPr>
          <w:rFonts w:ascii="Tahoma" w:eastAsia="Times New Roman" w:hAnsi="Tahoma" w:cs="Tahoma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265CED">
        <w:rPr>
          <w:rFonts w:ascii="Tahoma" w:eastAsia="Times New Roman" w:hAnsi="Tahoma" w:cs="Tahoma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265CED">
        <w:rPr>
          <w:rFonts w:ascii="Tahoma" w:eastAsia="Times New Roman" w:hAnsi="Tahoma" w:cs="Tahoma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</w:p>
    <w:p w:rsidR="004D71EC" w:rsidRPr="00D44389" w:rsidRDefault="004D71EC" w:rsidP="004D71EC">
      <w:pPr>
        <w:pStyle w:val="BodyA"/>
        <w:spacing w:after="240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4D71EC" w:rsidRPr="00D44389" w:rsidRDefault="004D71EC" w:rsidP="004D71EC">
      <w:pPr>
        <w:pStyle w:val="BodyA"/>
        <w:spacing w:after="240"/>
        <w:jc w:val="both"/>
        <w:rPr>
          <w:sz w:val="30"/>
          <w:szCs w:val="30"/>
        </w:rPr>
      </w:pPr>
    </w:p>
    <w:p w:rsidR="00E22C15" w:rsidRPr="004D71EC" w:rsidRDefault="00E22C15">
      <w:pPr>
        <w:rPr>
          <w:rFonts w:cstheme="minorBidi"/>
          <w:szCs w:val="30"/>
          <w:lang w:bidi="th-TH"/>
        </w:rPr>
      </w:pPr>
    </w:p>
    <w:sectPr w:rsidR="00E22C15" w:rsidRPr="004D71EC">
      <w:headerReference w:type="default" r:id="rId8"/>
      <w:footerReference w:type="default" r:id="rId9"/>
      <w:pgSz w:w="12240" w:h="15840"/>
      <w:pgMar w:top="1134" w:right="990" w:bottom="2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1B" w:rsidRDefault="006E031B">
      <w:r>
        <w:separator/>
      </w:r>
    </w:p>
  </w:endnote>
  <w:endnote w:type="continuationSeparator" w:id="0">
    <w:p w:rsidR="006E031B" w:rsidRDefault="006E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62" w:rsidRDefault="006E031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1B" w:rsidRDefault="006E031B">
      <w:r>
        <w:separator/>
      </w:r>
    </w:p>
  </w:footnote>
  <w:footnote w:type="continuationSeparator" w:id="0">
    <w:p w:rsidR="006E031B" w:rsidRDefault="006E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62" w:rsidRDefault="006E031B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C"/>
    <w:rsid w:val="001B6DEC"/>
    <w:rsid w:val="00265CED"/>
    <w:rsid w:val="004D71EC"/>
    <w:rsid w:val="006E031B"/>
    <w:rsid w:val="00D17EF9"/>
    <w:rsid w:val="00E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81CF"/>
  <w15:chartTrackingRefBased/>
  <w15:docId w15:val="{32CADED6-89CF-41C8-9A84-BE894D9F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71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D71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D71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4D71E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265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26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Duangkamol Sangchan</cp:lastModifiedBy>
  <cp:revision>2</cp:revision>
  <dcterms:created xsi:type="dcterms:W3CDTF">2022-08-18T09:17:00Z</dcterms:created>
  <dcterms:modified xsi:type="dcterms:W3CDTF">2022-08-18T09:17:00Z</dcterms:modified>
</cp:coreProperties>
</file>