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BA" w:rsidRDefault="007D5077">
      <w:pPr>
        <w:rPr>
          <w:rFonts w:ascii="Cordia New" w:eastAsia="Cordia New" w:hAnsi="Cordia New" w:cs="Cordia Ne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</wp:posOffset>
            </wp:positionH>
            <wp:positionV relativeFrom="paragraph">
              <wp:posOffset>0</wp:posOffset>
            </wp:positionV>
            <wp:extent cx="1382295" cy="535639"/>
            <wp:effectExtent l="0" t="0" r="0" b="0"/>
            <wp:wrapSquare wrapText="bothSides" distT="0" distB="0" distL="114300" distR="114300"/>
            <wp:docPr id="1" name="image1.jpg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TB_3DLOGO_H_ENTH_BLUE_CMYK_OK-0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295" cy="535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3CBA" w:rsidRDefault="00513CBA">
      <w:pPr>
        <w:ind w:left="2160" w:firstLine="720"/>
        <w:rPr>
          <w:rFonts w:ascii="Cordia New" w:eastAsia="Cordia New" w:hAnsi="Cordia New" w:cs="Cordia New"/>
          <w:sz w:val="30"/>
          <w:szCs w:val="30"/>
          <w:u w:val="single"/>
        </w:rPr>
      </w:pPr>
    </w:p>
    <w:p w:rsidR="00513CBA" w:rsidRDefault="007D5077">
      <w:pPr>
        <w:spacing w:line="240" w:lineRule="auto"/>
        <w:ind w:left="2160" w:firstLine="720"/>
        <w:jc w:val="right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:rsidR="00F4457D" w:rsidRDefault="007D5077" w:rsidP="00372273">
      <w:pPr>
        <w:tabs>
          <w:tab w:val="left" w:pos="3040"/>
        </w:tabs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กรุงไทยแนะใช้เมกะเทรนด์โลก พลิกสู่ “โมเดลเศรษฐกิจใหม่” ฟื้นธุรกิจเข้มแข็งยั่งยืน</w:t>
      </w:r>
    </w:p>
    <w:p w:rsidR="00F4457D" w:rsidRDefault="007D5077" w:rsidP="00F4457D">
      <w:pPr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F4457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กรุงไทยเชื่อมั่นเศรษฐกิจไทยปี </w:t>
      </w:r>
      <w:r w:rsidRPr="00F4457D">
        <w:rPr>
          <w:rFonts w:ascii="Cordia New" w:eastAsia="Cordia New" w:hAnsi="Cordia New" w:cs="Cordia New"/>
          <w:b/>
          <w:sz w:val="30"/>
          <w:szCs w:val="30"/>
        </w:rPr>
        <w:t xml:space="preserve">65 </w:t>
      </w:r>
      <w:r w:rsidRPr="00F4457D">
        <w:rPr>
          <w:rFonts w:ascii="Cordia New" w:eastAsia="Cordia New" w:hAnsi="Cordia New" w:cs="Cordia New"/>
          <w:b/>
          <w:bCs/>
          <w:sz w:val="30"/>
          <w:szCs w:val="30"/>
          <w:cs/>
        </w:rPr>
        <w:t>ฟื้นตัวขึ้น แนะเร่งใช้ “เมกะเทรนด์โลก” ปรับตัวสู่ “โมเดลเศรษฐกิจใหม่”ฟื้นธุรกิจเติบโตเข้มแข็งยั่งยืน ชูโรดแมพสมาคมธนาคารไทย ยกระดับประเทศพร้อมแข่งขันระดับโลก</w:t>
      </w:r>
    </w:p>
    <w:p w:rsidR="00513CBA" w:rsidRPr="00F4457D" w:rsidRDefault="007D5077" w:rsidP="00F4457D">
      <w:pPr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 xml:space="preserve">นายผยง ศรีวณิช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ประธานสมาคมธนาคารไทย และ กรรมการผู้จัดการใหญ่ ธนาคารกรุงไทย กล่าวในงานสัมมนา </w:t>
      </w:r>
      <w:proofErr w:type="spellStart"/>
      <w:r w:rsidRPr="00F4457D">
        <w:rPr>
          <w:rFonts w:ascii="Cordia New" w:eastAsia="Cordia New" w:hAnsi="Cordia New" w:cs="Cordia New"/>
          <w:sz w:val="29"/>
          <w:szCs w:val="29"/>
        </w:rPr>
        <w:t>iBusiness</w:t>
      </w:r>
      <w:proofErr w:type="spellEnd"/>
      <w:r w:rsidRPr="00F4457D">
        <w:rPr>
          <w:rFonts w:ascii="Cordia New" w:eastAsia="Cordia New" w:hAnsi="Cordia New" w:cs="Cordia New"/>
          <w:sz w:val="29"/>
          <w:szCs w:val="29"/>
        </w:rPr>
        <w:t xml:space="preserve"> Forum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หัวข้อ “</w:t>
      </w:r>
      <w:r w:rsidRPr="00F4457D">
        <w:rPr>
          <w:rFonts w:ascii="Cordia New" w:eastAsia="Cordia New" w:hAnsi="Cordia New" w:cs="Cordia New"/>
          <w:sz w:val="29"/>
          <w:szCs w:val="29"/>
        </w:rPr>
        <w:t>2022 Next economic chapter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.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New opportunities and challenges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ก้าวต่อไปเศรษฐกิจไทย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2565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โอกาสและความท้าทายใหม่” ว่า ในปี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2565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เศรษฐกิจไทยกำลังเข้าสู่เส้นทางการฟื้นตัวที่ชัดเจนขึ้น หลังจากเผชิญกับสถานการณ์วิกฤติในช่วง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2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ปีที่ผ่านมา โดยที่ประชุมร่วมคณะกรรมการภาคเอกชน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3 </w:t>
      </w:r>
      <w:r w:rsidR="00372273" w:rsidRPr="00F4457D">
        <w:rPr>
          <w:rFonts w:ascii="Cordia New" w:eastAsia="Cordia New" w:hAnsi="Cordia New" w:cs="Cordia New"/>
          <w:sz w:val="29"/>
          <w:szCs w:val="29"/>
          <w:cs/>
        </w:rPr>
        <w:t xml:space="preserve">สถาบัน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(กกร.) ครั้งล่าสุดได้คาดการณ์ว่าปี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2565 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เศรษฐกิจไทยจะขยายตัวได้มากขึ้นที่ </w:t>
      </w:r>
      <w:r w:rsidRPr="00F4457D">
        <w:rPr>
          <w:rFonts w:ascii="Cordia New" w:eastAsia="Cordia New" w:hAnsi="Cordia New" w:cs="Cordia New"/>
          <w:sz w:val="29"/>
          <w:szCs w:val="29"/>
        </w:rPr>
        <w:t>3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.</w:t>
      </w:r>
      <w:r w:rsidRPr="00F4457D">
        <w:rPr>
          <w:rFonts w:ascii="Cordia New" w:eastAsia="Cordia New" w:hAnsi="Cordia New" w:cs="Cordia New"/>
          <w:sz w:val="29"/>
          <w:szCs w:val="29"/>
        </w:rPr>
        <w:t>0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-</w:t>
      </w:r>
      <w:r w:rsidRPr="00F4457D">
        <w:rPr>
          <w:rFonts w:ascii="Cordia New" w:eastAsia="Cordia New" w:hAnsi="Cordia New" w:cs="Cordia New"/>
          <w:sz w:val="29"/>
          <w:szCs w:val="29"/>
        </w:rPr>
        <w:t>4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.</w:t>
      </w:r>
      <w:r w:rsidRPr="00F4457D">
        <w:rPr>
          <w:rFonts w:ascii="Cordia New" w:eastAsia="Cordia New" w:hAnsi="Cordia New" w:cs="Cordia New"/>
          <w:sz w:val="29"/>
          <w:szCs w:val="29"/>
        </w:rPr>
        <w:t>5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% เทียบกับปี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2564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ที่ขยายตัว </w:t>
      </w:r>
      <w:r w:rsidRPr="00F4457D">
        <w:rPr>
          <w:rFonts w:ascii="Cordia New" w:eastAsia="Cordia New" w:hAnsi="Cordia New" w:cs="Cordia New"/>
          <w:sz w:val="29"/>
          <w:szCs w:val="29"/>
        </w:rPr>
        <w:t>0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.</w:t>
      </w:r>
      <w:r w:rsidRPr="00F4457D">
        <w:rPr>
          <w:rFonts w:ascii="Cordia New" w:eastAsia="Cordia New" w:hAnsi="Cordia New" w:cs="Cordia New"/>
          <w:sz w:val="29"/>
          <w:szCs w:val="29"/>
        </w:rPr>
        <w:t>5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-</w:t>
      </w:r>
      <w:r w:rsidRPr="00F4457D">
        <w:rPr>
          <w:rFonts w:ascii="Cordia New" w:eastAsia="Cordia New" w:hAnsi="Cordia New" w:cs="Cordia New"/>
          <w:sz w:val="29"/>
          <w:szCs w:val="29"/>
        </w:rPr>
        <w:t>1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.</w:t>
      </w:r>
      <w:r w:rsidRPr="00F4457D">
        <w:rPr>
          <w:rFonts w:ascii="Cordia New" w:eastAsia="Cordia New" w:hAnsi="Cordia New" w:cs="Cordia New"/>
          <w:sz w:val="29"/>
          <w:szCs w:val="29"/>
        </w:rPr>
        <w:t>5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% แต่การฟื้นตัวของเศรษฐกิจยังมีอัตราการฟื้นตัวไม่เท่ากันในแต่ละภาคส่วน และยังมีความเปราะบางสูง โดยเฉพาะภาคการท่องเที่ยว และกำลังซื้อของครัวเรือนที่ถูกกดดันจากภาระหนี้ที่สูงขึ้นรวดเร็วจากผลกระทบของโควิด-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19 </w:t>
      </w:r>
    </w:p>
    <w:p w:rsidR="00513CBA" w:rsidRPr="00F4457D" w:rsidRDefault="007D5077" w:rsidP="00372273">
      <w:pPr>
        <w:tabs>
          <w:tab w:val="left" w:pos="3040"/>
        </w:tabs>
        <w:jc w:val="thaiDistribute"/>
        <w:rPr>
          <w:rFonts w:ascii="Cordia New" w:eastAsia="Cordia New" w:hAnsi="Cordia New" w:cs="Cordia New"/>
          <w:sz w:val="29"/>
          <w:szCs w:val="29"/>
        </w:rPr>
      </w:pP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            สำหรับแนวโน้มต่อจากนี้ ทุกภาคส่วนทั้งภาครัฐ ภาคเอกชนและภาคการเงิน ประเมินในทิศทางเดียวกันว่าต้องเร่งใช้โอกาสจากตัวขับเคลื่อนใหม่ๆ (</w:t>
      </w:r>
      <w:r w:rsidRPr="00F4457D">
        <w:rPr>
          <w:rFonts w:ascii="Cordia New" w:eastAsia="Cordia New" w:hAnsi="Cordia New" w:cs="Cordia New"/>
          <w:sz w:val="29"/>
          <w:szCs w:val="29"/>
        </w:rPr>
        <w:t>New growth driver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) และกระแสเมกะเทรนด์ของโลก เพื่อเร่งขับเคลื่อนเศรษฐกิจไทยให้ฟื้นตัวอย่างเข้มแข็ง บนแนวคิดของการเติบโตอย่างทั่วถึงและยั่งยืน โดยนำเทคโนโลยีดิจิทัลสมัยใหม่เข้าไปเปลี่ยนโฉมการดำเนินธุรกิจจะเป็นไปในวงกว้างและเข้มข้นขึ้น ซึ่งประเทศไทยมีความตื่นตัวและเป็นตัวแปรสำคัญในการกำหนดทิศทางของทุกภาคส่วน รวมทั้งภาคการเงิน ในการปรับตัวสู่โมเดลเศรษฐกิจใหม่ คือ </w:t>
      </w:r>
      <w:r w:rsidRPr="00F4457D">
        <w:rPr>
          <w:rFonts w:ascii="Cordia New" w:eastAsia="Cordia New" w:hAnsi="Cordia New" w:cs="Cordia New"/>
          <w:sz w:val="29"/>
          <w:szCs w:val="29"/>
        </w:rPr>
        <w:t>Bio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-</w:t>
      </w:r>
      <w:r w:rsidRPr="00F4457D">
        <w:rPr>
          <w:rFonts w:ascii="Cordia New" w:eastAsia="Cordia New" w:hAnsi="Cordia New" w:cs="Cordia New"/>
          <w:sz w:val="29"/>
          <w:szCs w:val="29"/>
        </w:rPr>
        <w:t>Circular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-</w:t>
      </w:r>
      <w:r w:rsidRPr="00F4457D">
        <w:rPr>
          <w:rFonts w:ascii="Cordia New" w:eastAsia="Cordia New" w:hAnsi="Cordia New" w:cs="Cordia New"/>
          <w:sz w:val="29"/>
          <w:szCs w:val="29"/>
        </w:rPr>
        <w:t>Green Economy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(</w:t>
      </w:r>
      <w:r w:rsidRPr="00F4457D">
        <w:rPr>
          <w:rFonts w:ascii="Cordia New" w:eastAsia="Cordia New" w:hAnsi="Cordia New" w:cs="Cordia New"/>
          <w:sz w:val="29"/>
          <w:szCs w:val="29"/>
        </w:rPr>
        <w:t>BCG Economy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) เพื่อขับเคลื่อนอุตสาหกรรมเป้าหมาย รวมถึงการให้ความสำคัญกับการเติบโตอย่างทั่วถึง ตามกรอบแนวคิด “สิ่งแวดล้อม สังคม และธรรมาภิบาล” (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Environment Social and Governance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- </w:t>
      </w:r>
      <w:r w:rsidRPr="00F4457D">
        <w:rPr>
          <w:rFonts w:ascii="Cordia New" w:eastAsia="Cordia New" w:hAnsi="Cordia New" w:cs="Cordia New"/>
          <w:sz w:val="29"/>
          <w:szCs w:val="29"/>
        </w:rPr>
        <w:t>ESG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) ซึ่งจะเป็นการดำเนินธุรกิจให้มีการแข่งขันที่เป็นธรรมและเพิ่มขีดความสามารถการแข่งขันในระยะยาวให้แก่ธุรกิจรายย่อย เพื่อให้ภาคธุรกิจขนาดเล็กมีโอกาสในการเติบโตได้อย่างมั่นคง </w:t>
      </w:r>
    </w:p>
    <w:p w:rsidR="00513CBA" w:rsidRPr="00F4457D" w:rsidRDefault="007D5077" w:rsidP="00372273">
      <w:pPr>
        <w:tabs>
          <w:tab w:val="left" w:pos="3040"/>
        </w:tabs>
        <w:jc w:val="thaiDistribute"/>
        <w:rPr>
          <w:rFonts w:ascii="Cordia New" w:eastAsia="Cordia New" w:hAnsi="Cordia New" w:cs="Cordia New"/>
          <w:sz w:val="29"/>
          <w:szCs w:val="29"/>
        </w:rPr>
      </w:pP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             “เมกะเทรนด์ที่เกิดขึ้นอย่างรวดเร็วและรุนแรงนี้ จะเป็นตัวที่กำหนดทิศทางของทุกภาคส่วน รวมทั้งภาคการเงิน ในการปรับตัวสู่โมเดลเศรษฐกิจใหม่ของไทย โดยเฉพาะเทคโนโลยีดิสรัปชัน ทำให้เกิดนวัตกรรมการเงินที่หลากหลายเข้ามาตอบโจทย์ความต้องการของภาคธุรกิจและประชาชน ซึ่งสถาบันการเงินไทยมีความตื่นตัวในการนำเทคโนโลยีทางการเงินมาปรับปรุงวิธีการดำเนินงานและรูปแบบธุรกิจของตัวเอง เพื่อให้แข่งขันได้ในบริบทที่คนไทยเข้าสู่ยุคของดิจิทัลไฟแนนซ์อย่างเข้มข้น เห็นได้จากการทำธุรกรรมโอนเงินผ่านโมบายแบงกิ้งที่คาดว่าอาจมีปริมาณสูงถึงกว่า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15,000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ล้านธุรกรรมในปี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2564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เติบโตจากในปี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2560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ที่มีเพียง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1,300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ล้านธุรกรรม เช่นเดียวกับการทำธุรกรรมผ่านระบบพร้อมเพย์ที่อาจมีจำนวนสูงถึงกว่า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9,400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ล้านธุรกรรม เติบโตขึ้น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10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เท่าจากปี </w:t>
      </w:r>
      <w:r w:rsidRPr="00F4457D">
        <w:rPr>
          <w:rFonts w:ascii="Cordia New" w:eastAsia="Cordia New" w:hAnsi="Cordia New" w:cs="Cordia New"/>
          <w:sz w:val="29"/>
          <w:szCs w:val="29"/>
        </w:rPr>
        <w:t>2560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”</w:t>
      </w:r>
    </w:p>
    <w:p w:rsidR="00513CBA" w:rsidRPr="00F4457D" w:rsidRDefault="007D5077" w:rsidP="00372273">
      <w:pPr>
        <w:tabs>
          <w:tab w:val="left" w:pos="3040"/>
        </w:tabs>
        <w:jc w:val="thaiDistribute"/>
        <w:rPr>
          <w:rFonts w:ascii="Cordia New" w:eastAsia="Cordia New" w:hAnsi="Cordia New" w:cs="Cordia New"/>
          <w:sz w:val="29"/>
          <w:szCs w:val="29"/>
        </w:rPr>
      </w:pP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         </w:t>
      </w:r>
      <w:r w:rsidR="00F4457D">
        <w:rPr>
          <w:rFonts w:ascii="Cordia New" w:eastAsia="Cordia New" w:hAnsi="Cordia New" w:cs="Cordia New" w:hint="cs"/>
          <w:sz w:val="29"/>
          <w:szCs w:val="29"/>
          <w:cs/>
        </w:rPr>
        <w:t xml:space="preserve">  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ทั้งนี้ เพื่อตอบโจทย์รองรับการเข้าสู่เศรษฐกิจดิจิทัลที่ภูมิทัศน์ภาคการเงินไทยกำลังเปลี่ยนแปลงไป ธนาคารแห่งประเทศไทย สมาคมธนาคารไทย และธนาคารสมาชิก ได้ร่วมมือกันพัฒนาและขับเคลื่อนมาตรการหลายด้าน เพื่อเร่งนำเทคโนโลยีดิจิทัลมาอำนวยความสะดวกด้านธุรกรรมทางการเงินให้แก่ภาคธุรกิจและประชาชน ตั้งแต่ระดับนโยบาย จนถึง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lastRenderedPageBreak/>
        <w:t>มาตรการในทางปฏิบัติ ซึ่งจะมุ่งเน้นส่งเสริมการเปลี่ยนผ่านสู่โลกการเงินใหม่อย่างยั่งยืน  ทั้งภาคการเงินและภาคครัวเรือน รวมทั้งคำนึงถึงความสมดุลระหว่างการพัฒนานวัตกรรมและการบริหารจัดการความเสี่ยงที่จะส่งผลกระทบต่อเสถียรภาพระบบเศรษฐกิจการเงิน ตลอดจนความเสมอภาคทั้งผู้ให้บริการรายเดิมและรายใหม่ เพื่อให้สามารถใช้ประโยชน์จากเทคโนโลยีและดิจิทัล เพื่อพัฒนาการให้บริการภายใต้บริบทการเปลี่ยนผ่านสู่เศรษฐกิจดิจิทัลได้อย่างเต็มประสิทธิภาพ</w:t>
      </w:r>
    </w:p>
    <w:p w:rsidR="00513CBA" w:rsidRPr="00F4457D" w:rsidRDefault="007D5077" w:rsidP="00372273">
      <w:pPr>
        <w:spacing w:after="0" w:line="276" w:lineRule="auto"/>
        <w:ind w:firstLine="720"/>
        <w:jc w:val="thaiDistribute"/>
        <w:rPr>
          <w:rFonts w:ascii="Cordia New" w:eastAsia="Cordia New" w:hAnsi="Cordia New" w:cs="Cordia New"/>
          <w:sz w:val="29"/>
          <w:szCs w:val="29"/>
        </w:rPr>
      </w:pP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ในส่วนของสมาคมธนาคารไทยตระหนักถึงโจทย์ที่ท้าทาย จึงได้วางโรดแมพในช่วง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3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ปีข้างหน้า เพื่อมุ่งส่งเสริมการเติบโตอย่างยั่งยืน เพิ่มประสิทธิภาพและความเชื่อมั่นในระบบสถาบันการเงิน ตลอดจนยกระดับการแข่งขันของประเทศไทยในระดับภูมิภาคและระดับโลก ใน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4 Theme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ได้แก่ </w:t>
      </w:r>
    </w:p>
    <w:p w:rsidR="00513CBA" w:rsidRPr="00F4457D" w:rsidRDefault="007D5077" w:rsidP="00372273">
      <w:pPr>
        <w:spacing w:after="0" w:line="276" w:lineRule="auto"/>
        <w:ind w:firstLine="720"/>
        <w:jc w:val="thaiDistribute"/>
        <w:rPr>
          <w:rFonts w:ascii="Cordia New" w:eastAsia="Cordia New" w:hAnsi="Cordia New" w:cs="Cordia New"/>
          <w:sz w:val="29"/>
          <w:szCs w:val="29"/>
        </w:rPr>
      </w:pPr>
      <w:r w:rsidRPr="00F4457D">
        <w:rPr>
          <w:rFonts w:ascii="Cordia New" w:eastAsia="Cordia New" w:hAnsi="Cordia New" w:cs="Cordia New"/>
          <w:sz w:val="29"/>
          <w:szCs w:val="29"/>
        </w:rPr>
        <w:t>1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.</w:t>
      </w: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>การยกระดับความสามารถในการแข่งขันของประเทศ (</w:t>
      </w:r>
      <w:r w:rsidRPr="00F4457D">
        <w:rPr>
          <w:rFonts w:ascii="Cordia New" w:eastAsia="Cordia New" w:hAnsi="Cordia New" w:cs="Cordia New"/>
          <w:b/>
          <w:sz w:val="29"/>
          <w:szCs w:val="29"/>
        </w:rPr>
        <w:t>Enabling Country Competitiveness</w:t>
      </w: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>)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 ซึ่งเทคโนโลยีถือเป็นหัวใจสำคัญที่จะยกระดับขีดความสามารถการดำเนินธุรกิจให้กับภาคธุรกิจในระยะต่อไป สอดคล้องกับภูมิทัศน์ภาคการเงินไทยที่จะช่วยสนับสนุนการเปลี่ยนผ่านของภาคธุรกิจเข้าสู่ระบบเศรษฐกิจดิจิทัลได้อย่างมีประสิทธิภาพมากขึ้น โดยธนาคารแห่งประเทศไทย สมาคมธนาคารไทยและสมาคมสถาบันการเงินของรัฐ มุ่งมั่นผลักดันการวางกรอบแนวทางและสนับสนุนระบบ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Open Banking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ตลอดจนโครงสร้างพื้นฐานทางการเงินของประเทศ บนแนวคิดที่ลดความซ้ำซ้อนและเชื่อมโยงข้อมูลอย่างครบวงจร</w:t>
      </w:r>
    </w:p>
    <w:p w:rsidR="00513CBA" w:rsidRPr="00F4457D" w:rsidRDefault="007D5077" w:rsidP="00372273">
      <w:pPr>
        <w:spacing w:after="0" w:line="276" w:lineRule="auto"/>
        <w:ind w:firstLine="720"/>
        <w:jc w:val="thaiDistribute"/>
        <w:rPr>
          <w:rFonts w:ascii="Cordia New" w:eastAsia="Cordia New" w:hAnsi="Cordia New" w:cs="Cordia New"/>
          <w:sz w:val="29"/>
          <w:szCs w:val="29"/>
        </w:rPr>
      </w:pPr>
      <w:r w:rsidRPr="00F4457D">
        <w:rPr>
          <w:rFonts w:ascii="Cordia New" w:eastAsia="Cordia New" w:hAnsi="Cordia New" w:cs="Cordia New"/>
          <w:b/>
          <w:sz w:val="29"/>
          <w:szCs w:val="29"/>
        </w:rPr>
        <w:t>2</w:t>
      </w: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>.การเป็นผู้นำการให้บริการทางการเงินในภูมิภาค (</w:t>
      </w:r>
      <w:r w:rsidRPr="00F4457D">
        <w:rPr>
          <w:rFonts w:ascii="Cordia New" w:eastAsia="Cordia New" w:hAnsi="Cordia New" w:cs="Cordia New"/>
          <w:b/>
          <w:sz w:val="29"/>
          <w:szCs w:val="29"/>
        </w:rPr>
        <w:t>Regional Championing</w:t>
      </w: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>)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 สนับสนุนผู้ประกอบการและนักลงทุน เชื่อมโยงระบบโครงสร้างทางการเงินระหว่างกันในภูมิภาค เพื่อรองรับโอกาสใหม่ๆ ของภาคธุรกิจจากการขยายตลาดสู่ภูมิภาคอาเซียน ซึ่งถือเป็นตลาดเกิดใหม่ที่มีศักยภาพการเติบโตอย่างต่อเนื่อง</w:t>
      </w:r>
    </w:p>
    <w:p w:rsidR="00513CBA" w:rsidRPr="00F4457D" w:rsidRDefault="007D5077" w:rsidP="00372273">
      <w:pPr>
        <w:spacing w:after="0" w:line="276" w:lineRule="auto"/>
        <w:ind w:firstLine="720"/>
        <w:jc w:val="thaiDistribute"/>
        <w:rPr>
          <w:rFonts w:ascii="Cordia New" w:eastAsia="Cordia New" w:hAnsi="Cordia New" w:cs="Cordia New"/>
          <w:sz w:val="29"/>
          <w:szCs w:val="29"/>
        </w:rPr>
      </w:pPr>
      <w:r w:rsidRPr="00F4457D">
        <w:rPr>
          <w:rFonts w:ascii="Cordia New" w:eastAsia="Cordia New" w:hAnsi="Cordia New" w:cs="Cordia New"/>
          <w:b/>
          <w:sz w:val="29"/>
          <w:szCs w:val="29"/>
        </w:rPr>
        <w:t>3</w:t>
      </w: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>.การให้ความสำคัญกับสิ่งแวดล้อมและความยั่งยืน (</w:t>
      </w:r>
      <w:r w:rsidRPr="00F4457D">
        <w:rPr>
          <w:rFonts w:ascii="Cordia New" w:eastAsia="Cordia New" w:hAnsi="Cordia New" w:cs="Cordia New"/>
          <w:b/>
          <w:sz w:val="29"/>
          <w:szCs w:val="29"/>
        </w:rPr>
        <w:t>Sustainability</w:t>
      </w: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>)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 ผลักดันให้การดำเนินธุรกิจของภาคเอกชนคำนึงถึงหลักการ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ESG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โดยสมาคมธนาคารไทยจะมีส่วนผลักดันให้ภาคธุรกิจเปลี่ยนผ่านไปสู่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BCG Economy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ร่วมกับธนาคารแห่งประเทศไทยในการพัฒนาและนำแนวปฏิบัติด้านการธนาคารเพื่อความยั่งยืน (</w:t>
      </w:r>
      <w:r w:rsidRPr="00F4457D">
        <w:rPr>
          <w:rFonts w:ascii="Cordia New" w:eastAsia="Cordia New" w:hAnsi="Cordia New" w:cs="Cordia New"/>
          <w:sz w:val="29"/>
          <w:szCs w:val="29"/>
        </w:rPr>
        <w:t>Sustainable Banking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) ไปใช้ดำเนินธุรกิจ รวมถึงจัดทำ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ESG Declaration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อย่างชัดเจนและสอดคล้องกับมาตรฐานสากล นอกจากนี้สมาคมธนาคารไทยยังมุ่งมั่นที่จะร่วมกันแก้ปัญหาหนี้ครัวเรือนอย่างยั่งยืน โดยสร้างกลไกการเพิ่มวินัยทางการเงินและส่งเสริมการออมเงิน โดยเฉพาะการออมเผื่อเกษียณ เพื่อช่วยให้ภาคครัวเรือนหรือกลุ่มเปราะบางอยู่รอดและปรับตัวสู่โลกใหม่ ตลอดจนมุ่งลดความเหลื่อมล้ำ โดยส่งเสริมให้ประชาชนและภาคธุรกิจสามารถเข้าถึงผลิตภัณฑ์และบริการทางการเงินได้มากขึ้น</w:t>
      </w:r>
    </w:p>
    <w:p w:rsidR="00F4457D" w:rsidRDefault="007D5077" w:rsidP="00F4457D">
      <w:pPr>
        <w:spacing w:after="0" w:line="276" w:lineRule="auto"/>
        <w:jc w:val="thaiDistribute"/>
        <w:rPr>
          <w:rFonts w:ascii="Cordia New" w:eastAsia="Cordia New" w:hAnsi="Cordia New" w:cs="Cordia New"/>
          <w:sz w:val="29"/>
          <w:szCs w:val="29"/>
        </w:rPr>
      </w:pPr>
      <w:r w:rsidRPr="00F4457D">
        <w:rPr>
          <w:rFonts w:ascii="Cordia New" w:eastAsia="Cordia New" w:hAnsi="Cordia New" w:cs="Cordia New"/>
          <w:sz w:val="29"/>
          <w:szCs w:val="29"/>
        </w:rPr>
        <w:t xml:space="preserve">             </w:t>
      </w:r>
      <w:r w:rsidRPr="00F4457D">
        <w:rPr>
          <w:rFonts w:ascii="Cordia New" w:eastAsia="Cordia New" w:hAnsi="Cordia New" w:cs="Cordia New"/>
          <w:b/>
          <w:bCs/>
          <w:sz w:val="29"/>
          <w:szCs w:val="29"/>
        </w:rPr>
        <w:t>4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.</w:t>
      </w: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>การให้ความสำคัญด้านทรัพยากรมนุษย์ (</w:t>
      </w:r>
      <w:r w:rsidRPr="00F4457D">
        <w:rPr>
          <w:rFonts w:ascii="Cordia New" w:eastAsia="Cordia New" w:hAnsi="Cordia New" w:cs="Cordia New"/>
          <w:b/>
          <w:sz w:val="29"/>
          <w:szCs w:val="29"/>
        </w:rPr>
        <w:t>Human Capital</w:t>
      </w:r>
      <w:r w:rsidRPr="00F4457D">
        <w:rPr>
          <w:rFonts w:ascii="Cordia New" w:eastAsia="Cordia New" w:hAnsi="Cordia New" w:cs="Cordia New"/>
          <w:b/>
          <w:bCs/>
          <w:sz w:val="29"/>
          <w:szCs w:val="29"/>
          <w:cs/>
        </w:rPr>
        <w:t xml:space="preserve">)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พัฒนา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 Pool of Talents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ที่มีทักษะตอบโจทย์โลกอนาคต โดยสมาคมธนาคารไทยจะเดินหน้า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Upskill &amp; Reskill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พนักงาน ซึ่งปัจจุบันธนาคารพาณิชย์ทั้งระบบมีอยู่กว่า </w:t>
      </w:r>
      <w:r w:rsidRPr="00F4457D">
        <w:rPr>
          <w:rFonts w:ascii="Cordia New" w:eastAsia="Cordia New" w:hAnsi="Cordia New" w:cs="Cordia New"/>
          <w:sz w:val="29"/>
          <w:szCs w:val="29"/>
        </w:rPr>
        <w:t>1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.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36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แสนราย ให้มี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Digital Literacy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มากขึ้น มุ่งยกระดับให้สมาคมธนาคารไทยมีบทบาทเป็นฮับระดับชาติในด้านองค์ความรู้และการวิจัยของอุตสาหกรรมการเงิน เพื่อตอบโจทย์โลกการเงินที่เปลี่ยนไป สอดรับกับ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Business model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ของภาคธนาคารที่มุ่งสู่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Digital banking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และเน้น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Agility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อย่างเต็มรูปแบบ </w:t>
      </w:r>
    </w:p>
    <w:p w:rsidR="00513CBA" w:rsidRPr="00F4457D" w:rsidRDefault="007D5077" w:rsidP="00F4457D">
      <w:pPr>
        <w:spacing w:after="0" w:line="276" w:lineRule="auto"/>
        <w:ind w:firstLine="720"/>
        <w:jc w:val="thaiDistribute"/>
        <w:rPr>
          <w:rFonts w:ascii="Cordia New" w:eastAsia="Cordia New" w:hAnsi="Cordia New" w:cs="Cordia New"/>
          <w:sz w:val="29"/>
          <w:szCs w:val="29"/>
        </w:rPr>
      </w:pPr>
      <w:bookmarkStart w:id="0" w:name="_GoBack"/>
      <w:bookmarkEnd w:id="0"/>
      <w:r w:rsidRPr="00F4457D">
        <w:rPr>
          <w:rFonts w:ascii="Cordia New" w:eastAsia="Cordia New" w:hAnsi="Cordia New" w:cs="Cordia New"/>
          <w:sz w:val="29"/>
          <w:szCs w:val="29"/>
          <w:cs/>
        </w:rPr>
        <w:t>อย่างไรก็ตาม ท่ามกลางการฟื้นตัวจากวิกฤติโควิด-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19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 xml:space="preserve">และบริบทโลกที่เปลี่ยนแปลงไป โรดแมพและยุทธศาสตร์ทั้ง </w:t>
      </w:r>
      <w:r w:rsidRPr="00F4457D">
        <w:rPr>
          <w:rFonts w:ascii="Cordia New" w:eastAsia="Cordia New" w:hAnsi="Cordia New" w:cs="Cordia New"/>
          <w:sz w:val="29"/>
          <w:szCs w:val="29"/>
        </w:rPr>
        <w:t xml:space="preserve">4 Themes </w:t>
      </w:r>
      <w:r w:rsidRPr="00F4457D">
        <w:rPr>
          <w:rFonts w:ascii="Cordia New" w:eastAsia="Cordia New" w:hAnsi="Cordia New" w:cs="Cordia New"/>
          <w:sz w:val="29"/>
          <w:szCs w:val="29"/>
          <w:cs/>
        </w:rPr>
        <w:t>ของสมาคมธนาคารไทยและธนาคารสมาชิก เป็นเพียงส่วนหนึ่งที่จะช่วยส่งเสริมประสิทธิภาพการดำเนินงานของภาคธุรกิจและยกระดับเศรษฐกิจไทย และจำเป็นต้องได้รับความร่วมมือจากทุกภาคส่วน เพื่อขับเคลื่อนเศรษฐกิจและสังคมไทยไปด้วยกัน</w:t>
      </w:r>
    </w:p>
    <w:p w:rsidR="00513CBA" w:rsidRPr="00B85901" w:rsidRDefault="007D5077" w:rsidP="00372273">
      <w:pPr>
        <w:spacing w:after="0"/>
        <w:jc w:val="thaiDistribute"/>
        <w:rPr>
          <w:rFonts w:ascii="Cordia New" w:eastAsia="Cordia New" w:hAnsi="Cordia New" w:cs="Cordia New"/>
          <w:b/>
          <w:sz w:val="29"/>
          <w:szCs w:val="29"/>
        </w:rPr>
      </w:pPr>
      <w:r w:rsidRPr="00B85901">
        <w:rPr>
          <w:rFonts w:ascii="Cordia New" w:eastAsia="Cordia New" w:hAnsi="Cordia New" w:cs="Cordia New"/>
          <w:b/>
          <w:bCs/>
          <w:sz w:val="29"/>
          <w:szCs w:val="29"/>
          <w:cs/>
        </w:rPr>
        <w:t xml:space="preserve">ทีม </w:t>
      </w:r>
      <w:r w:rsidRPr="00B85901">
        <w:rPr>
          <w:rFonts w:ascii="Cordia New" w:eastAsia="Cordia New" w:hAnsi="Cordia New" w:cs="Cordia New"/>
          <w:b/>
          <w:sz w:val="29"/>
          <w:szCs w:val="29"/>
        </w:rPr>
        <w:t>Marketing Strategy</w:t>
      </w:r>
    </w:p>
    <w:p w:rsidR="00513CBA" w:rsidRPr="00B85901" w:rsidRDefault="007D5077" w:rsidP="00372273">
      <w:pPr>
        <w:spacing w:after="0"/>
        <w:jc w:val="thaiDistribute"/>
        <w:rPr>
          <w:rFonts w:ascii="Cordia New" w:eastAsia="Cordia New" w:hAnsi="Cordia New" w:cs="Cordia New"/>
          <w:sz w:val="29"/>
          <w:szCs w:val="29"/>
        </w:rPr>
      </w:pPr>
      <w:r w:rsidRPr="00B85901">
        <w:rPr>
          <w:rFonts w:ascii="Cordia New" w:eastAsia="Cordia New" w:hAnsi="Cordia New" w:cs="Cordia New"/>
          <w:b/>
          <w:sz w:val="29"/>
          <w:szCs w:val="29"/>
        </w:rPr>
        <w:t xml:space="preserve">23 </w:t>
      </w:r>
      <w:r w:rsidRPr="00B85901">
        <w:rPr>
          <w:rFonts w:ascii="Cordia New" w:eastAsia="Cordia New" w:hAnsi="Cordia New" w:cs="Cordia New"/>
          <w:b/>
          <w:bCs/>
          <w:sz w:val="29"/>
          <w:szCs w:val="29"/>
          <w:cs/>
        </w:rPr>
        <w:t xml:space="preserve">กุมภาพันธ์ </w:t>
      </w:r>
      <w:r w:rsidRPr="00B85901">
        <w:rPr>
          <w:rFonts w:ascii="Cordia New" w:eastAsia="Cordia New" w:hAnsi="Cordia New" w:cs="Cordia New"/>
          <w:b/>
          <w:sz w:val="29"/>
          <w:szCs w:val="29"/>
        </w:rPr>
        <w:t>2565  </w:t>
      </w:r>
    </w:p>
    <w:sectPr w:rsidR="00513CBA" w:rsidRPr="00B85901">
      <w:pgSz w:w="11906" w:h="16838"/>
      <w:pgMar w:top="709" w:right="1196" w:bottom="270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BA"/>
    <w:rsid w:val="00372273"/>
    <w:rsid w:val="00513CBA"/>
    <w:rsid w:val="007D5077"/>
    <w:rsid w:val="008F5571"/>
    <w:rsid w:val="00B85901"/>
    <w:rsid w:val="00F4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6D88"/>
  <w15:docId w15:val="{CEBD4492-1514-4868-AFFF-42932E7C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Duangkamol Sangchan</cp:lastModifiedBy>
  <cp:revision>5</cp:revision>
  <dcterms:created xsi:type="dcterms:W3CDTF">2022-02-22T01:30:00Z</dcterms:created>
  <dcterms:modified xsi:type="dcterms:W3CDTF">2022-02-23T04:04:00Z</dcterms:modified>
</cp:coreProperties>
</file>