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Pr="0066030E" w:rsidRDefault="0094497E" w:rsidP="00E253CE">
      <w:pPr>
        <w:pStyle w:val="Caption"/>
        <w:ind w:left="1" w:hanging="3"/>
        <w:rPr>
          <w:rFonts w:asciiTheme="majorBidi" w:eastAsia="Cordia New" w:hAnsiTheme="majorBidi" w:cstheme="majorBidi"/>
          <w:sz w:val="32"/>
          <w:szCs w:val="32"/>
        </w:rPr>
      </w:pPr>
      <w:r w:rsidRPr="0066030E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Pr="0066030E" w:rsidRDefault="0094497E" w:rsidP="00E253CE">
      <w:pPr>
        <w:pStyle w:val="Caption"/>
        <w:ind w:left="1" w:hanging="3"/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</w:p>
    <w:p w14:paraId="702EB023" w14:textId="4805DD64" w:rsidR="00AA79E9" w:rsidRPr="0066030E" w:rsidRDefault="00DC4358" w:rsidP="00E253CE">
      <w:pPr>
        <w:pStyle w:val="Caption"/>
        <w:ind w:left="1" w:hanging="3"/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</w:pPr>
      <w:proofErr w:type="spellStart"/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ที่</w:t>
      </w:r>
      <w:proofErr w:type="spellEnd"/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 </w:t>
      </w:r>
      <w:proofErr w:type="spellStart"/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ปส</w:t>
      </w:r>
      <w:proofErr w:type="spellEnd"/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. </w:t>
      </w:r>
      <w:r w:rsidR="004823C3"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0</w:t>
      </w:r>
      <w:r w:rsidR="00D3224F"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00</w:t>
      </w:r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/256</w:t>
      </w:r>
      <w:r w:rsidR="00905DFC"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5</w:t>
      </w:r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  <w:t xml:space="preserve">             </w:t>
      </w:r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  <w:t xml:space="preserve"> </w:t>
      </w:r>
      <w:r w:rsidR="0066030E">
        <w:rPr>
          <w:rFonts w:asciiTheme="majorBidi" w:eastAsia="Cordia New" w:hAnsiTheme="majorBidi" w:cstheme="majorBidi" w:hint="cs"/>
          <w:b w:val="0"/>
          <w:bCs w:val="0"/>
          <w:sz w:val="32"/>
          <w:szCs w:val="32"/>
          <w:cs/>
        </w:rPr>
        <w:t xml:space="preserve">                                       </w:t>
      </w:r>
      <w:proofErr w:type="spellStart"/>
      <w:r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วั</w:t>
      </w:r>
      <w:proofErr w:type="spellEnd"/>
      <w:r w:rsidR="0066030E">
        <w:rPr>
          <w:rFonts w:asciiTheme="majorBidi" w:eastAsia="Cordia New" w:hAnsiTheme="majorBidi" w:cstheme="majorBidi" w:hint="cs"/>
          <w:b w:val="0"/>
          <w:bCs w:val="0"/>
          <w:sz w:val="32"/>
          <w:szCs w:val="32"/>
          <w:cs/>
        </w:rPr>
        <w:t>นที่</w:t>
      </w:r>
      <w:r w:rsidR="00905DFC"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 </w:t>
      </w:r>
      <w:r w:rsidR="00F40E94"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28 </w:t>
      </w:r>
      <w:r w:rsidR="00905DFC" w:rsidRPr="0066030E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มกราคม 2565</w:t>
      </w:r>
    </w:p>
    <w:p w14:paraId="76CEC413" w14:textId="77777777" w:rsidR="00E44A63" w:rsidRPr="0066030E" w:rsidRDefault="00E44A63" w:rsidP="00AC56D2">
      <w:pPr>
        <w:pStyle w:val="NoSpacing"/>
        <w:ind w:left="1" w:hanging="3"/>
        <w:jc w:val="center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6603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ไอแบงก์ ออกมาตรการแก้หนี้ระยะยาว รวมหนี้ช่วยลูกค้าธนาคารและประชาชนทั่วไป</w:t>
      </w:r>
    </w:p>
    <w:p w14:paraId="14DDCA38" w14:textId="5A11C566" w:rsidR="00185982" w:rsidRPr="0066030E" w:rsidRDefault="00AC56D2" w:rsidP="00AC56D2">
      <w:pPr>
        <w:pStyle w:val="NoSpacing"/>
        <w:ind w:left="1" w:hanging="3"/>
        <w:jc w:val="center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66030E">
        <w:rPr>
          <w:rFonts w:asciiTheme="majorBidi" w:hAnsiTheme="majorBidi" w:cstheme="majorBidi"/>
          <w:noProof/>
          <w:cs/>
        </w:rPr>
        <w:drawing>
          <wp:inline distT="0" distB="0" distL="0" distR="0" wp14:anchorId="17B98F66" wp14:editId="11AF8FDC">
            <wp:extent cx="1640489" cy="204987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37" cy="207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A6693" w14:textId="75450DED" w:rsidR="00E44A63" w:rsidRPr="0066030E" w:rsidRDefault="00E44A63" w:rsidP="00E44A63">
      <w:pPr>
        <w:pStyle w:val="NoSpacing"/>
        <w:ind w:left="1" w:hanging="3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6603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185982" w:rsidRPr="006603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6603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ธนาคารอิสลามแห่งประเทศไทย (ไอแบงก์)</w:t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 xml:space="preserve"> ออกมาตรการแก้หนี้ระยะยาวตามมาตรการของธนาคารแห่งประเทศไทย (ธปท.) ด้วยการรีไฟแนน</w:t>
      </w:r>
      <w:proofErr w:type="spellStart"/>
      <w:r w:rsidRPr="0066030E">
        <w:rPr>
          <w:rFonts w:asciiTheme="majorBidi" w:eastAsia="Cordia New" w:hAnsiTheme="majorBidi" w:cstheme="majorBidi"/>
          <w:sz w:val="32"/>
          <w:szCs w:val="32"/>
          <w:cs/>
        </w:rPr>
        <w:t>ซ์</w:t>
      </w:r>
      <w:proofErr w:type="spellEnd"/>
      <w:r w:rsidRPr="0066030E">
        <w:rPr>
          <w:rFonts w:asciiTheme="majorBidi" w:eastAsia="Cordia New" w:hAnsiTheme="majorBidi" w:cstheme="majorBidi"/>
          <w:sz w:val="32"/>
          <w:szCs w:val="32"/>
          <w:cs/>
        </w:rPr>
        <w:t xml:space="preserve"> (</w:t>
      </w:r>
      <w:r w:rsidRPr="0066030E">
        <w:rPr>
          <w:rFonts w:asciiTheme="majorBidi" w:eastAsia="Cordia New" w:hAnsiTheme="majorBidi" w:cstheme="majorBidi"/>
          <w:sz w:val="32"/>
          <w:szCs w:val="32"/>
        </w:rPr>
        <w:t xml:space="preserve">Refinance) </w:t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>และการรวมหนี้ (</w:t>
      </w:r>
      <w:r w:rsidRPr="0066030E">
        <w:rPr>
          <w:rFonts w:asciiTheme="majorBidi" w:eastAsia="Cordia New" w:hAnsiTheme="majorBidi" w:cstheme="majorBidi"/>
          <w:sz w:val="32"/>
          <w:szCs w:val="32"/>
        </w:rPr>
        <w:t xml:space="preserve">Debt Consolidation) </w:t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 xml:space="preserve">เพื่อช่วยแบ่งเบาภาระทางการเงินแก่ลูกค้าเดิมของธนาคาร รวมถึงผู้สนใจทั่วไปที่มีบัญชีสินเชื่อบ้านและมีสินเชื่อบุคคลประเภทอื่น </w:t>
      </w:r>
    </w:p>
    <w:p w14:paraId="5D431148" w14:textId="545B8773" w:rsidR="00E44A63" w:rsidRDefault="00E44A63" w:rsidP="00E44A63">
      <w:pPr>
        <w:pStyle w:val="NoSpacing"/>
        <w:ind w:left="1" w:hanging="3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6603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ab/>
        <w:t>มาตรการนี้มีกลุ่มเป้าหมายสำหรับลูกค้าเดิมของธนาคาร ที่มีสินเชื่อบ้านและสินเชื่ออเนกประสงค์แบบไม่มีหลักประกัน และต้องการรวมหนี้เพื่อวัตถุประสงค์ขยายระยะเวลาผ่อนชำระสินเชื่ออเนกประสงค์ที่เดิมมีอายุผ่อนชำระสั้น ให้ยาวขึ้นเท่ากับระยะเวลาคงเหลือของสัญญาสินเชื่อบ้าน การยืดระยะเวลาผ่อนชำระจะทำให้ค่างวดต่อเดือนลดลง อีกทั้งธนาคารยังลดอัตรากำไรสินเชื่ออเนกประสงค์แบบไม่มีหลักประกันลงจากเดิม เป็นอัตรากำไรสูงสุดของสัญญาบ้านบวก 2.00% ก็จะทำให้ค่างวดต่อเดือนลดลงเพิ่มขึ้นด้วย โดยการรวมหนี้สินเชื่ออ</w:t>
      </w:r>
      <w:r w:rsidR="003008D8" w:rsidRPr="0066030E">
        <w:rPr>
          <w:rFonts w:asciiTheme="majorBidi" w:eastAsia="Cordia New" w:hAnsiTheme="majorBidi" w:cstheme="majorBidi"/>
          <w:sz w:val="32"/>
          <w:szCs w:val="32"/>
          <w:cs/>
        </w:rPr>
        <w:t>เ</w:t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>นกประสงค์ไม่มีหลักประกันสามารถรวมได้ในส่วนที่ไม่เกินส่วนต่างมูลค่าหลักประกันของสินเชื่อที่อยู่อาศัย (</w:t>
      </w:r>
      <w:r w:rsidRPr="0066030E">
        <w:rPr>
          <w:rFonts w:asciiTheme="majorBidi" w:eastAsia="Cordia New" w:hAnsiTheme="majorBidi" w:cstheme="majorBidi"/>
          <w:sz w:val="32"/>
          <w:szCs w:val="32"/>
        </w:rPr>
        <w:t xml:space="preserve">FTV </w:t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 xml:space="preserve">ไม่เกิน 100%)  เช่น เดิมลูกค้ามีวงเงินสินเชื่อบ้าน 5 ล้านบาท ปัจจุบันภาระหนี้คงเหลือ 4 ล้านบาท  มีส่วนต่างมูลค่าหลักประกัน 1 ล้านบาท ดังนั้นบัญชีสินเชื่ออเนกประสงค์แบบไม่มีหลักประกันที่ขอปรับปรุงโครงสร้างหนี้ในครั้งนี้ต้องไม่เกิน 1 ล้านบาท  (หมายเหตุ ลูกค้าโครงการบ้านแลกเงิน โครงการบำเหน็จตกทอดฯ โครงการ </w:t>
      </w:r>
      <w:r w:rsidRPr="0066030E">
        <w:rPr>
          <w:rFonts w:asciiTheme="majorBidi" w:eastAsia="Cordia New" w:hAnsiTheme="majorBidi" w:cstheme="majorBidi"/>
          <w:sz w:val="32"/>
          <w:szCs w:val="32"/>
        </w:rPr>
        <w:t xml:space="preserve">MOU </w:t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 xml:space="preserve">อเนกประสงค์ไม่มีหลักประกัน และสินเชื่อธุรกิจรายย่อย </w:t>
      </w:r>
      <w:r w:rsidRPr="0066030E">
        <w:rPr>
          <w:rFonts w:asciiTheme="majorBidi" w:eastAsia="Cordia New" w:hAnsiTheme="majorBidi" w:cstheme="majorBidi"/>
          <w:sz w:val="32"/>
          <w:szCs w:val="32"/>
        </w:rPr>
        <w:t xml:space="preserve">MSMEs </w:t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 xml:space="preserve">ไม่สามารถเข้าร่วมมาตรการนี้ได้) </w:t>
      </w:r>
    </w:p>
    <w:p w14:paraId="56683AFD" w14:textId="77ABF18B" w:rsidR="0066030E" w:rsidRDefault="0066030E" w:rsidP="00E44A63">
      <w:pPr>
        <w:pStyle w:val="NoSpacing"/>
        <w:ind w:left="1" w:hanging="3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14:paraId="1A5E6872" w14:textId="77777777" w:rsidR="0066030E" w:rsidRDefault="0066030E" w:rsidP="00E44A63">
      <w:pPr>
        <w:pStyle w:val="NoSpacing"/>
        <w:ind w:left="1" w:hanging="3"/>
        <w:jc w:val="thaiDistribute"/>
        <w:rPr>
          <w:rFonts w:asciiTheme="majorBidi" w:eastAsia="Cordia New" w:hAnsiTheme="majorBidi" w:cstheme="majorBidi" w:hint="cs"/>
          <w:sz w:val="32"/>
          <w:szCs w:val="32"/>
        </w:rPr>
      </w:pPr>
      <w:bookmarkStart w:id="0" w:name="_GoBack"/>
      <w:bookmarkEnd w:id="0"/>
    </w:p>
    <w:p w14:paraId="58F9CED4" w14:textId="028077DB" w:rsidR="0066030E" w:rsidRDefault="0066030E" w:rsidP="00E44A63">
      <w:pPr>
        <w:pStyle w:val="NoSpacing"/>
        <w:ind w:left="1" w:hanging="3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14:paraId="1582C20F" w14:textId="77777777" w:rsidR="0066030E" w:rsidRPr="0066030E" w:rsidRDefault="0066030E" w:rsidP="00E44A63">
      <w:pPr>
        <w:pStyle w:val="NoSpacing"/>
        <w:ind w:left="1" w:hanging="3"/>
        <w:jc w:val="thaiDistribute"/>
        <w:rPr>
          <w:rFonts w:asciiTheme="majorBidi" w:eastAsia="Cordia New" w:hAnsiTheme="majorBidi" w:cstheme="majorBidi" w:hint="cs"/>
          <w:sz w:val="32"/>
          <w:szCs w:val="32"/>
        </w:rPr>
      </w:pPr>
    </w:p>
    <w:p w14:paraId="60814032" w14:textId="6EEA12AF" w:rsidR="00E44A63" w:rsidRPr="0066030E" w:rsidRDefault="00E44A63" w:rsidP="00E44A63">
      <w:pPr>
        <w:pStyle w:val="NoSpacing"/>
        <w:ind w:left="1" w:hanging="3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6603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ab/>
        <w:t>สำหรับลูกค้าทั่วไปที่มีสินเชื่อบ้านและสินเชื่อรายย่อยประเภทอื่นกับสถาบันการเงินอื่น ก็สามารถเข้ามาตรการนี้ด้วยการรีไฟแนน</w:t>
      </w:r>
      <w:proofErr w:type="spellStart"/>
      <w:r w:rsidRPr="0066030E">
        <w:rPr>
          <w:rFonts w:asciiTheme="majorBidi" w:eastAsia="Cordia New" w:hAnsiTheme="majorBidi" w:cstheme="majorBidi"/>
          <w:sz w:val="32"/>
          <w:szCs w:val="32"/>
          <w:cs/>
        </w:rPr>
        <w:t>ซ์</w:t>
      </w:r>
      <w:proofErr w:type="spellEnd"/>
      <w:r w:rsidRPr="0066030E">
        <w:rPr>
          <w:rFonts w:asciiTheme="majorBidi" w:eastAsia="Cordia New" w:hAnsiTheme="majorBidi" w:cstheme="majorBidi"/>
          <w:sz w:val="32"/>
          <w:szCs w:val="32"/>
          <w:cs/>
        </w:rPr>
        <w:t xml:space="preserve">รวมหนี้มาที่ไอแบงก์ได้เช่นกัน โดยธนาคารจะคิดอัตรากำไรสินเชื่อบ้าน 2.25% ต่อปี นาน 2 ปี และปีที่ 3 เป็นต้นไป  เท่ากับ </w:t>
      </w:r>
      <w:r w:rsidRPr="0066030E">
        <w:rPr>
          <w:rFonts w:asciiTheme="majorBidi" w:eastAsia="Cordia New" w:hAnsiTheme="majorBidi" w:cstheme="majorBidi"/>
          <w:sz w:val="32"/>
          <w:szCs w:val="32"/>
        </w:rPr>
        <w:t xml:space="preserve">SPRL – </w:t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>2.50% ต่อปี (</w:t>
      </w:r>
      <w:r w:rsidRPr="0066030E">
        <w:rPr>
          <w:rFonts w:asciiTheme="majorBidi" w:eastAsia="Cordia New" w:hAnsiTheme="majorBidi" w:cstheme="majorBidi"/>
          <w:sz w:val="32"/>
          <w:szCs w:val="32"/>
        </w:rPr>
        <w:t xml:space="preserve">SPRL </w:t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 xml:space="preserve">ปัจจุบัน =7.40% ต่อปี) ผ่อนได้นานสูงสุด 35 ปี สำหรับสินเชื่อบุคคลประเภทอื่น ได้แก่ บัตรเครดิต สินเชื่อบุคคล หรือสินเชื่อ </w:t>
      </w:r>
      <w:r w:rsidRPr="0066030E">
        <w:rPr>
          <w:rFonts w:asciiTheme="majorBidi" w:eastAsia="Cordia New" w:hAnsiTheme="majorBidi" w:cstheme="majorBidi"/>
          <w:sz w:val="32"/>
          <w:szCs w:val="32"/>
        </w:rPr>
        <w:t xml:space="preserve">Car for cash </w:t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>คิดอัตรากำไรเท่ากับอัตรากำไรสินเชื่อบ้านบวก 2.00% ต่อปี ระยะเวลาผ่อนชำระนานสูงสุด 20 ปี</w:t>
      </w:r>
    </w:p>
    <w:p w14:paraId="364B1411" w14:textId="24DBBB16" w:rsidR="00E44A63" w:rsidRPr="0066030E" w:rsidRDefault="00E44A63" w:rsidP="00E44A63">
      <w:pPr>
        <w:pStyle w:val="NoSpacing"/>
        <w:ind w:left="1" w:hanging="3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6603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ผู้สนใจสามารถติดต่อสอบถามเจ้าหน้าที่สินเชื่อ ของไอแบงก์ทุกสาขาทั่วประเทศ ตั้งแต่วันนี้ – 31 ธันวาคม 2566 หรือสอบถามรายละเอียดเพิ่มเติม ได้ที่ </w:t>
      </w:r>
      <w:proofErr w:type="spellStart"/>
      <w:r w:rsidRPr="0066030E">
        <w:rPr>
          <w:rFonts w:asciiTheme="majorBidi" w:eastAsia="Cordia New" w:hAnsiTheme="majorBidi" w:cstheme="majorBidi"/>
          <w:sz w:val="32"/>
          <w:szCs w:val="32"/>
        </w:rPr>
        <w:t>iBank</w:t>
      </w:r>
      <w:proofErr w:type="spellEnd"/>
      <w:r w:rsidRPr="0066030E">
        <w:rPr>
          <w:rFonts w:asciiTheme="majorBidi" w:eastAsia="Cordia New" w:hAnsiTheme="majorBidi" w:cstheme="majorBidi"/>
          <w:sz w:val="32"/>
          <w:szCs w:val="32"/>
        </w:rPr>
        <w:t xml:space="preserve"> Call Center </w:t>
      </w:r>
      <w:r w:rsidRPr="0066030E">
        <w:rPr>
          <w:rFonts w:asciiTheme="majorBidi" w:eastAsia="Cordia New" w:hAnsiTheme="majorBidi" w:cstheme="majorBidi"/>
          <w:sz w:val="32"/>
          <w:szCs w:val="32"/>
          <w:cs/>
        </w:rPr>
        <w:t>1302</w:t>
      </w:r>
    </w:p>
    <w:p w14:paraId="6705979A" w14:textId="2882A044" w:rsidR="002553EC" w:rsidRPr="0066030E" w:rsidRDefault="002553EC" w:rsidP="00E44A63">
      <w:pPr>
        <w:pStyle w:val="NoSpacing"/>
        <w:ind w:left="0" w:hanging="2"/>
        <w:jc w:val="thaiDistribute"/>
        <w:rPr>
          <w:rFonts w:asciiTheme="majorBidi" w:hAnsiTheme="majorBidi" w:cstheme="majorBidi"/>
          <w:i/>
          <w:iCs/>
          <w:sz w:val="24"/>
          <w:szCs w:val="24"/>
          <w:cs/>
        </w:rPr>
      </w:pPr>
      <w:r w:rsidRPr="0066030E">
        <w:rPr>
          <w:rFonts w:asciiTheme="majorBidi" w:hAnsiTheme="majorBidi" w:cstheme="majorBidi"/>
          <w:i/>
          <w:iCs/>
          <w:sz w:val="24"/>
          <w:szCs w:val="24"/>
        </w:rPr>
        <w:t>*</w:t>
      </w:r>
      <w:r w:rsidRPr="0066030E">
        <w:rPr>
          <w:rFonts w:asciiTheme="majorBidi" w:hAnsiTheme="majorBidi" w:cstheme="majorBidi"/>
          <w:i/>
          <w:iCs/>
          <w:sz w:val="24"/>
          <w:szCs w:val="24"/>
          <w:cs/>
        </w:rPr>
        <w:t>หมายเหตุ</w:t>
      </w:r>
      <w:r w:rsidRPr="0066030E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</w:p>
    <w:p w14:paraId="5C95E15C" w14:textId="77777777" w:rsidR="002553EC" w:rsidRPr="0066030E" w:rsidRDefault="002553EC" w:rsidP="002553EC">
      <w:pPr>
        <w:pStyle w:val="NoSpacing"/>
        <w:spacing w:after="0"/>
        <w:ind w:left="0" w:hanging="2"/>
        <w:jc w:val="thaiDistribute"/>
        <w:rPr>
          <w:rFonts w:asciiTheme="majorBidi" w:hAnsiTheme="majorBidi" w:cstheme="majorBidi"/>
          <w:i/>
          <w:iCs/>
          <w:sz w:val="24"/>
          <w:szCs w:val="24"/>
        </w:rPr>
      </w:pPr>
      <w:r w:rsidRPr="0066030E">
        <w:rPr>
          <w:rFonts w:asciiTheme="majorBidi" w:hAnsiTheme="majorBidi" w:cstheme="majorBidi"/>
          <w:i/>
          <w:iCs/>
          <w:sz w:val="24"/>
          <w:szCs w:val="24"/>
        </w:rPr>
        <w:t xml:space="preserve">1.  </w:t>
      </w:r>
      <w:r w:rsidRPr="0066030E">
        <w:rPr>
          <w:rFonts w:asciiTheme="majorBidi" w:hAnsiTheme="majorBidi" w:cstheme="majorBidi"/>
          <w:i/>
          <w:iCs/>
          <w:sz w:val="24"/>
          <w:szCs w:val="24"/>
          <w:cs/>
        </w:rPr>
        <w:t>"อัตรากำไร/ผลตอบแทน ผลิตภัณฑ์ธนาคารมิใช่ดอกเบี้ยหรือเป็นคำเรียกแทนดอกเบี้ย แต่มาจากหลักการที่ใช้ในการทำธุรกรรมที่ถูกต้องตามหลักการอิสลาม"</w:t>
      </w:r>
    </w:p>
    <w:p w14:paraId="7CF36E45" w14:textId="378E72E9" w:rsidR="002553EC" w:rsidRPr="0066030E" w:rsidRDefault="002553EC" w:rsidP="002553EC">
      <w:pPr>
        <w:tabs>
          <w:tab w:val="left" w:pos="540"/>
          <w:tab w:val="left" w:pos="990"/>
        </w:tabs>
        <w:spacing w:after="0" w:line="240" w:lineRule="auto"/>
        <w:ind w:left="0" w:hanging="2"/>
        <w:jc w:val="thaiDistribute"/>
        <w:rPr>
          <w:rFonts w:asciiTheme="majorBidi" w:hAnsiTheme="majorBidi" w:cstheme="majorBidi"/>
          <w:i/>
          <w:iCs/>
          <w:sz w:val="24"/>
          <w:szCs w:val="24"/>
        </w:rPr>
      </w:pPr>
      <w:r w:rsidRPr="0066030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8DE10" wp14:editId="2DF5536E">
                <wp:simplePos x="0" y="0"/>
                <wp:positionH relativeFrom="column">
                  <wp:posOffset>1274445</wp:posOffset>
                </wp:positionH>
                <wp:positionV relativeFrom="paragraph">
                  <wp:posOffset>468630</wp:posOffset>
                </wp:positionV>
                <wp:extent cx="3612515" cy="368935"/>
                <wp:effectExtent l="0" t="190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BF456" w14:textId="77777777" w:rsidR="002553EC" w:rsidRPr="00205A88" w:rsidRDefault="002553EC" w:rsidP="002553EC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86265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ขอขอบคุณในความอนุเคราะห์เผยแพร่ข่าวสาร</w:t>
                            </w:r>
                          </w:p>
                          <w:p w14:paraId="06C96FFF" w14:textId="77777777" w:rsidR="002553EC" w:rsidRDefault="002553EC" w:rsidP="002553EC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F38D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35pt;margin-top:36.9pt;width:284.45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" filled="f" stroked="f">
                <v:textbox>
                  <w:txbxContent>
                    <w:p w14:paraId="53ABF456" w14:textId="77777777" w:rsidR="002553EC" w:rsidRPr="00205A88" w:rsidRDefault="002553EC" w:rsidP="002553EC">
                      <w:pPr>
                        <w:pStyle w:val="NoSpacing"/>
                        <w:ind w:left="1" w:hanging="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86265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ขอขอบคุณในความอนุเคราะห์เผยแพร่ข่าวสาร</w:t>
                      </w:r>
                    </w:p>
                    <w:p w14:paraId="06C96FFF" w14:textId="77777777" w:rsidR="002553EC" w:rsidRDefault="002553EC" w:rsidP="002553EC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Pr="0066030E">
        <w:rPr>
          <w:rFonts w:asciiTheme="majorBidi" w:hAnsiTheme="majorBidi" w:cstheme="majorBidi"/>
          <w:i/>
          <w:iCs/>
          <w:sz w:val="24"/>
          <w:szCs w:val="24"/>
        </w:rPr>
        <w:t xml:space="preserve">2. </w:t>
      </w:r>
      <w:r w:rsidRPr="0066030E">
        <w:rPr>
          <w:rFonts w:asciiTheme="majorBidi" w:hAnsiTheme="majorBidi" w:cstheme="majorBidi"/>
          <w:i/>
          <w:iCs/>
          <w:sz w:val="24"/>
          <w:szCs w:val="24"/>
          <w:cs/>
        </w:rPr>
        <w:t>อัตราผลตอบแทนที่คาดว่าจะได้รับ คืออัตราที่คำนวณได้จากประมาณการรายได้ของธนาคารและอัตราสัดส่วนการแบ่งผลตอบแทนเงินฝาก 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14:paraId="32D28ADB" w14:textId="035FE6F8" w:rsidR="00AA79E9" w:rsidRPr="0066030E" w:rsidRDefault="00AA79E9" w:rsidP="00817C11">
      <w:pPr>
        <w:pStyle w:val="Caption"/>
        <w:ind w:left="1" w:hanging="3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sectPr w:rsidR="00AA79E9" w:rsidRPr="0066030E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27AC7" w14:textId="77777777" w:rsidR="00B9621C" w:rsidRDefault="00B9621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61801F" w14:textId="77777777" w:rsidR="00B9621C" w:rsidRDefault="00B962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proofErr w:type="spellStart"/>
    <w:proofErr w:type="gramStart"/>
    <w:r>
      <w:rPr>
        <w:rFonts w:ascii="Sarabun" w:eastAsia="Sarabun" w:hAnsi="Sarabun" w:cs="Sarabun"/>
        <w:b/>
        <w:color w:val="000000"/>
        <w:sz w:val="24"/>
        <w:szCs w:val="24"/>
      </w:rPr>
      <w:t>ข้อมูลข่าวประชาสัมพันธ์</w:t>
    </w:r>
    <w:proofErr w:type="spellEnd"/>
    <w:r>
      <w:rPr>
        <w:rFonts w:ascii="Sarabun" w:eastAsia="Sarabun" w:hAnsi="Sarabun" w:cs="Sarabun"/>
        <w:b/>
        <w:color w:val="000000"/>
        <w:sz w:val="24"/>
        <w:szCs w:val="24"/>
      </w:rPr>
      <w:t xml:space="preserve">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proofErr w:type="spellStart"/>
    <w:r>
      <w:rPr>
        <w:rFonts w:ascii="Sarabun" w:eastAsia="Sarabun" w:hAnsi="Sarabun" w:cs="Sarabun"/>
        <w:color w:val="000000"/>
        <w:sz w:val="24"/>
        <w:szCs w:val="24"/>
      </w:rPr>
      <w:t>โดย</w:t>
    </w:r>
    <w:proofErr w:type="spellEnd"/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proofErr w:type="spellStart"/>
    <w:r>
      <w:rPr>
        <w:rFonts w:ascii="Sarabun" w:eastAsia="Sarabun" w:hAnsi="Sarabun" w:cs="Sarabun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77777777"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proofErr w:type="spellStart"/>
    <w:r>
      <w:rPr>
        <w:rFonts w:ascii="Sarabun" w:eastAsia="Sarabun" w:hAnsi="Sarabun" w:cs="Sarabun"/>
        <w:color w:val="000000"/>
        <w:sz w:val="24"/>
        <w:szCs w:val="24"/>
      </w:rPr>
      <w:t>โทร</w:t>
    </w:r>
    <w:proofErr w:type="spellEnd"/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spellStart"/>
    <w:proofErr w:type="gramStart"/>
    <w:r>
      <w:rPr>
        <w:rFonts w:ascii="Sarabun" w:eastAsia="Sarabun" w:hAnsi="Sarabun" w:cs="Sarabun"/>
        <w:color w:val="000000"/>
        <w:sz w:val="24"/>
        <w:szCs w:val="24"/>
      </w:rPr>
      <w:t>ต่อ</w:t>
    </w:r>
    <w:proofErr w:type="spellEnd"/>
    <w:r>
      <w:rPr>
        <w:rFonts w:ascii="Sarabun" w:eastAsia="Sarabun" w:hAnsi="Sarabun" w:cs="Sarabun"/>
        <w:color w:val="000000"/>
        <w:sz w:val="24"/>
        <w:szCs w:val="24"/>
      </w:rPr>
      <w:t xml:space="preserve">  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proofErr w:type="spellStart"/>
    <w:r>
      <w:rPr>
        <w:rFonts w:ascii="Sarabun" w:eastAsia="Sarabun" w:hAnsi="Sarabun" w:cs="Sarabun"/>
        <w:color w:val="000000"/>
        <w:sz w:val="24"/>
        <w:szCs w:val="24"/>
      </w:rPr>
      <w:t>แฟ็กซ์</w:t>
    </w:r>
    <w:proofErr w:type="spellEnd"/>
    <w:r>
      <w:rPr>
        <w:rFonts w:ascii="Sarabun" w:eastAsia="Sarabun" w:hAnsi="Sarabun" w:cs="Sarabun"/>
        <w:color w:val="000000"/>
        <w:sz w:val="24"/>
        <w:szCs w:val="24"/>
      </w:rPr>
      <w:t xml:space="preserve"> 0-2204-2765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F954" w14:textId="77777777" w:rsidR="00B9621C" w:rsidRDefault="00B962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CA19AA" w14:textId="77777777" w:rsidR="00B9621C" w:rsidRDefault="00B9621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78EA"/>
    <w:rsid w:val="000369F7"/>
    <w:rsid w:val="000C311A"/>
    <w:rsid w:val="000C6229"/>
    <w:rsid w:val="000C7475"/>
    <w:rsid w:val="00183279"/>
    <w:rsid w:val="00185982"/>
    <w:rsid w:val="00186108"/>
    <w:rsid w:val="001A0AED"/>
    <w:rsid w:val="001C54E3"/>
    <w:rsid w:val="001D2F1B"/>
    <w:rsid w:val="001E306B"/>
    <w:rsid w:val="002553EC"/>
    <w:rsid w:val="00257FD2"/>
    <w:rsid w:val="0026509F"/>
    <w:rsid w:val="00270233"/>
    <w:rsid w:val="00276298"/>
    <w:rsid w:val="00296D64"/>
    <w:rsid w:val="002B5696"/>
    <w:rsid w:val="003008D8"/>
    <w:rsid w:val="00301A40"/>
    <w:rsid w:val="00305F47"/>
    <w:rsid w:val="00316F80"/>
    <w:rsid w:val="0032634B"/>
    <w:rsid w:val="003614B2"/>
    <w:rsid w:val="00365A92"/>
    <w:rsid w:val="0039389B"/>
    <w:rsid w:val="003A4A94"/>
    <w:rsid w:val="003D330F"/>
    <w:rsid w:val="00417CC1"/>
    <w:rsid w:val="00454A96"/>
    <w:rsid w:val="004823C3"/>
    <w:rsid w:val="004D1590"/>
    <w:rsid w:val="00504ADF"/>
    <w:rsid w:val="005373E5"/>
    <w:rsid w:val="00555146"/>
    <w:rsid w:val="0055620C"/>
    <w:rsid w:val="0056246F"/>
    <w:rsid w:val="005B01C0"/>
    <w:rsid w:val="005F45D1"/>
    <w:rsid w:val="006241B8"/>
    <w:rsid w:val="0066030E"/>
    <w:rsid w:val="0066044B"/>
    <w:rsid w:val="00675A0A"/>
    <w:rsid w:val="006A64E7"/>
    <w:rsid w:val="006E2AC1"/>
    <w:rsid w:val="006E5695"/>
    <w:rsid w:val="006F53E5"/>
    <w:rsid w:val="00707988"/>
    <w:rsid w:val="00743EBF"/>
    <w:rsid w:val="007B75F9"/>
    <w:rsid w:val="00817C11"/>
    <w:rsid w:val="008A354D"/>
    <w:rsid w:val="008A4738"/>
    <w:rsid w:val="008B5832"/>
    <w:rsid w:val="008C45FB"/>
    <w:rsid w:val="008F60FE"/>
    <w:rsid w:val="00905DFC"/>
    <w:rsid w:val="009122A7"/>
    <w:rsid w:val="00933A06"/>
    <w:rsid w:val="0094497E"/>
    <w:rsid w:val="009F5992"/>
    <w:rsid w:val="009F786D"/>
    <w:rsid w:val="00A03183"/>
    <w:rsid w:val="00A407D1"/>
    <w:rsid w:val="00AA040F"/>
    <w:rsid w:val="00AA79E9"/>
    <w:rsid w:val="00AC56D2"/>
    <w:rsid w:val="00AC69D0"/>
    <w:rsid w:val="00B107FB"/>
    <w:rsid w:val="00B856E7"/>
    <w:rsid w:val="00B9621C"/>
    <w:rsid w:val="00BF31B7"/>
    <w:rsid w:val="00C3500F"/>
    <w:rsid w:val="00C67FF4"/>
    <w:rsid w:val="00C72D1A"/>
    <w:rsid w:val="00CE47EF"/>
    <w:rsid w:val="00D055F8"/>
    <w:rsid w:val="00D2178D"/>
    <w:rsid w:val="00D3224F"/>
    <w:rsid w:val="00D43DD9"/>
    <w:rsid w:val="00DA4A1F"/>
    <w:rsid w:val="00DB6564"/>
    <w:rsid w:val="00DC2635"/>
    <w:rsid w:val="00DC4358"/>
    <w:rsid w:val="00DF07A3"/>
    <w:rsid w:val="00E253CE"/>
    <w:rsid w:val="00E44A63"/>
    <w:rsid w:val="00E51E87"/>
    <w:rsid w:val="00E73C78"/>
    <w:rsid w:val="00EA5714"/>
    <w:rsid w:val="00EB1144"/>
    <w:rsid w:val="00EE7864"/>
    <w:rsid w:val="00F0057D"/>
    <w:rsid w:val="00F40E94"/>
    <w:rsid w:val="00F43DB7"/>
    <w:rsid w:val="00F570EE"/>
    <w:rsid w:val="00F70CF0"/>
    <w:rsid w:val="00F76EB1"/>
    <w:rsid w:val="00F868B8"/>
    <w:rsid w:val="00FB39C3"/>
    <w:rsid w:val="00FB6D16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42</cp:revision>
  <cp:lastPrinted>2022-01-28T04:02:00Z</cp:lastPrinted>
  <dcterms:created xsi:type="dcterms:W3CDTF">2021-04-28T02:34:00Z</dcterms:created>
  <dcterms:modified xsi:type="dcterms:W3CDTF">2022-01-28T08:24:00Z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