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B9DE" w14:textId="77777777" w:rsidR="00E74253" w:rsidRDefault="0046394E">
      <w:pPr>
        <w:pBdr>
          <w:top w:val="nil"/>
          <w:left w:val="nil"/>
          <w:bottom w:val="nil"/>
          <w:right w:val="nil"/>
          <w:between w:val="nil"/>
        </w:pBdr>
        <w:spacing w:after="160" w:line="259" w:lineRule="auto"/>
        <w:ind w:firstLine="720"/>
        <w:jc w:val="both"/>
        <w:rPr>
          <w:rFonts w:ascii="Calibri" w:eastAsia="Calibri" w:hAnsi="Calibri" w:cs="Calibri"/>
          <w:color w:val="000000"/>
          <w:sz w:val="32"/>
          <w:szCs w:val="32"/>
        </w:rPr>
      </w:pPr>
      <w:r>
        <w:rPr>
          <w:noProof/>
        </w:rPr>
        <w:drawing>
          <wp:anchor distT="0" distB="0" distL="0" distR="0" simplePos="0" relativeHeight="251658240" behindDoc="0" locked="0" layoutInCell="1" hidden="0" allowOverlap="1" wp14:anchorId="1833B6C1" wp14:editId="12F6D532">
            <wp:simplePos x="0" y="0"/>
            <wp:positionH relativeFrom="column">
              <wp:posOffset>0</wp:posOffset>
            </wp:positionH>
            <wp:positionV relativeFrom="paragraph">
              <wp:posOffset>-480058</wp:posOffset>
            </wp:positionV>
            <wp:extent cx="1426211" cy="546735"/>
            <wp:effectExtent l="0" t="0" r="0" b="0"/>
            <wp:wrapNone/>
            <wp:docPr id="1" name="image1.jpg" descr="KTB_3DLOGO_H_ENTH_BLUE_CMYK_OK-01"/>
            <wp:cNvGraphicFramePr/>
            <a:graphic xmlns:a="http://schemas.openxmlformats.org/drawingml/2006/main">
              <a:graphicData uri="http://schemas.openxmlformats.org/drawingml/2006/picture">
                <pic:pic xmlns:pic="http://schemas.openxmlformats.org/drawingml/2006/picture">
                  <pic:nvPicPr>
                    <pic:cNvPr id="0" name="image1.jpg" descr="KTB_3DLOGO_H_ENTH_BLUE_CMYK_OK-01"/>
                    <pic:cNvPicPr preferRelativeResize="0"/>
                  </pic:nvPicPr>
                  <pic:blipFill>
                    <a:blip r:embed="rId6"/>
                    <a:srcRect/>
                    <a:stretch>
                      <a:fillRect/>
                    </a:stretch>
                  </pic:blipFill>
                  <pic:spPr>
                    <a:xfrm>
                      <a:off x="0" y="0"/>
                      <a:ext cx="1426211" cy="546735"/>
                    </a:xfrm>
                    <a:prstGeom prst="rect">
                      <a:avLst/>
                    </a:prstGeom>
                    <a:ln/>
                  </pic:spPr>
                </pic:pic>
              </a:graphicData>
            </a:graphic>
          </wp:anchor>
        </w:drawing>
      </w:r>
    </w:p>
    <w:p w14:paraId="7D2A44A6" w14:textId="77777777" w:rsidR="00E74253" w:rsidRDefault="0046394E">
      <w:pPr>
        <w:pBdr>
          <w:top w:val="nil"/>
          <w:left w:val="nil"/>
          <w:bottom w:val="nil"/>
          <w:right w:val="nil"/>
          <w:between w:val="nil"/>
        </w:pBdr>
        <w:spacing w:after="160" w:line="259" w:lineRule="auto"/>
        <w:jc w:val="right"/>
        <w:rPr>
          <w:rFonts w:ascii="Cordia New" w:eastAsia="Cordia New" w:hAnsi="Cordia New" w:cs="Cordia New"/>
          <w:b/>
          <w:color w:val="000000"/>
          <w:sz w:val="30"/>
          <w:szCs w:val="30"/>
          <w:u w:val="single"/>
        </w:rPr>
      </w:pPr>
      <w:r>
        <w:rPr>
          <w:rFonts w:ascii="Cordia New" w:eastAsia="Cordia New" w:hAnsi="Cordia New" w:cs="Cordia New"/>
          <w:sz w:val="30"/>
          <w:szCs w:val="30"/>
          <w:u w:val="single"/>
        </w:rPr>
        <w:t>PR NEWS</w:t>
      </w:r>
    </w:p>
    <w:p w14:paraId="59988DB0" w14:textId="77777777" w:rsidR="00E74253" w:rsidRDefault="0046394E">
      <w:pPr>
        <w:pBdr>
          <w:top w:val="nil"/>
          <w:left w:val="nil"/>
          <w:bottom w:val="nil"/>
          <w:right w:val="nil"/>
          <w:between w:val="nil"/>
        </w:pBdr>
        <w:spacing w:after="160"/>
        <w:jc w:val="both"/>
        <w:rPr>
          <w:rFonts w:ascii="Cordia New" w:eastAsia="Cordia New" w:hAnsi="Cordia New" w:cs="Cordia New"/>
          <w:color w:val="000000"/>
        </w:rPr>
      </w:pPr>
      <w:proofErr w:type="spellStart"/>
      <w:r>
        <w:rPr>
          <w:rFonts w:ascii="Cordia New" w:eastAsia="Cordia New" w:hAnsi="Cordia New" w:cs="Cordia New"/>
          <w:b/>
          <w:sz w:val="30"/>
          <w:szCs w:val="30"/>
        </w:rPr>
        <w:t>Krungthai</w:t>
      </w:r>
      <w:proofErr w:type="spellEnd"/>
      <w:r>
        <w:rPr>
          <w:rFonts w:ascii="Cordia New" w:eastAsia="Cordia New" w:hAnsi="Cordia New" w:cs="Cordia New"/>
          <w:b/>
          <w:sz w:val="30"/>
          <w:szCs w:val="30"/>
        </w:rPr>
        <w:t xml:space="preserve"> to revolutionize foreign stock investment by offering DR representing global tech stocks Alibaba and Tencent</w:t>
      </w:r>
    </w:p>
    <w:p w14:paraId="4C807CAB" w14:textId="77777777" w:rsidR="00E74253" w:rsidRDefault="0046394E">
      <w:pPr>
        <w:pBdr>
          <w:top w:val="nil"/>
          <w:left w:val="nil"/>
          <w:bottom w:val="nil"/>
          <w:right w:val="nil"/>
          <w:between w:val="nil"/>
        </w:pBdr>
        <w:spacing w:after="160"/>
        <w:jc w:val="both"/>
        <w:rPr>
          <w:rFonts w:ascii="Cordia New" w:eastAsia="Cordia New" w:hAnsi="Cordia New" w:cs="Cordia New"/>
          <w:color w:val="000000"/>
          <w:sz w:val="30"/>
          <w:szCs w:val="30"/>
        </w:rPr>
      </w:pPr>
      <w:r>
        <w:rPr>
          <w:rFonts w:ascii="Cordia New" w:eastAsia="Cordia New" w:hAnsi="Cordia New" w:cs="Cordia New"/>
          <w:color w:val="000000"/>
          <w:sz w:val="30"/>
          <w:szCs w:val="30"/>
        </w:rPr>
        <w:tab/>
      </w:r>
      <w:proofErr w:type="spellStart"/>
      <w:r>
        <w:rPr>
          <w:rFonts w:ascii="Cordia New" w:eastAsia="Cordia New" w:hAnsi="Cordia New" w:cs="Cordia New"/>
          <w:color w:val="000000"/>
          <w:sz w:val="30"/>
          <w:szCs w:val="30"/>
        </w:rPr>
        <w:t>Krungthai</w:t>
      </w:r>
      <w:proofErr w:type="spellEnd"/>
      <w:r>
        <w:rPr>
          <w:rFonts w:ascii="Cordia New" w:eastAsia="Cordia New" w:hAnsi="Cordia New" w:cs="Cordia New"/>
          <w:color w:val="000000"/>
          <w:sz w:val="30"/>
          <w:szCs w:val="30"/>
        </w:rPr>
        <w:t xml:space="preserve"> </w:t>
      </w:r>
      <w:r>
        <w:rPr>
          <w:rFonts w:ascii="Cordia New" w:eastAsia="Cordia New" w:hAnsi="Cordia New" w:cs="Cordia New"/>
          <w:sz w:val="30"/>
          <w:szCs w:val="30"/>
        </w:rPr>
        <w:t>is set to take foreign stock trading on Thai bourse to the next level by offering Thailand’s first depositary receipt (DR) representing shares of global tech companies, Alibaba and Tencent, in 2022 after the Securities and Exchange Commission (SEC) greenli</w:t>
      </w:r>
      <w:r>
        <w:rPr>
          <w:rFonts w:ascii="Cordia New" w:eastAsia="Cordia New" w:hAnsi="Cordia New" w:cs="Cordia New"/>
          <w:sz w:val="30"/>
          <w:szCs w:val="30"/>
        </w:rPr>
        <w:t xml:space="preserve">ghted filing. This will allow retail investors an easier access to shares of top foreign companies with the minimum investment of only 1 DR. </w:t>
      </w:r>
    </w:p>
    <w:p w14:paraId="783B7CE4" w14:textId="77777777" w:rsidR="00E74253" w:rsidRDefault="0046394E">
      <w:pPr>
        <w:pBdr>
          <w:top w:val="nil"/>
          <w:left w:val="nil"/>
          <w:bottom w:val="nil"/>
          <w:right w:val="nil"/>
          <w:between w:val="nil"/>
        </w:pBdr>
        <w:spacing w:after="160"/>
        <w:ind w:firstLine="720"/>
        <w:jc w:val="both"/>
        <w:rPr>
          <w:rFonts w:ascii="Cordia New" w:eastAsia="Cordia New" w:hAnsi="Cordia New" w:cs="Cordia New"/>
          <w:sz w:val="30"/>
          <w:szCs w:val="30"/>
        </w:rPr>
      </w:pPr>
      <w:proofErr w:type="spellStart"/>
      <w:r>
        <w:rPr>
          <w:rFonts w:ascii="Cordia New" w:eastAsia="Cordia New" w:hAnsi="Cordia New" w:cs="Cordia New"/>
          <w:b/>
          <w:sz w:val="30"/>
          <w:szCs w:val="30"/>
        </w:rPr>
        <w:t>Rawin</w:t>
      </w:r>
      <w:proofErr w:type="spellEnd"/>
      <w:r>
        <w:rPr>
          <w:rFonts w:ascii="Cordia New" w:eastAsia="Cordia New" w:hAnsi="Cordia New" w:cs="Cordia New"/>
          <w:b/>
          <w:sz w:val="30"/>
          <w:szCs w:val="30"/>
        </w:rPr>
        <w:t xml:space="preserve"> </w:t>
      </w:r>
      <w:proofErr w:type="spellStart"/>
      <w:r>
        <w:rPr>
          <w:rFonts w:ascii="Cordia New" w:eastAsia="Cordia New" w:hAnsi="Cordia New" w:cs="Cordia New"/>
          <w:b/>
          <w:sz w:val="30"/>
          <w:szCs w:val="30"/>
        </w:rPr>
        <w:t>Boonyanusasna</w:t>
      </w:r>
      <w:proofErr w:type="spellEnd"/>
      <w:r>
        <w:rPr>
          <w:rFonts w:ascii="Cordia New" w:eastAsia="Cordia New" w:hAnsi="Cordia New" w:cs="Cordia New"/>
          <w:sz w:val="30"/>
          <w:szCs w:val="30"/>
        </w:rPr>
        <w:t>,</w:t>
      </w:r>
      <w:r>
        <w:rPr>
          <w:rFonts w:ascii="Cordia New" w:eastAsia="Cordia New" w:hAnsi="Cordia New" w:cs="Cordia New"/>
          <w:b/>
          <w:sz w:val="30"/>
          <w:szCs w:val="30"/>
        </w:rPr>
        <w:t xml:space="preserve"> </w:t>
      </w:r>
      <w:r>
        <w:rPr>
          <w:rFonts w:ascii="Cordia New" w:eastAsia="Cordia New" w:hAnsi="Cordia New" w:cs="Cordia New"/>
          <w:sz w:val="30"/>
          <w:szCs w:val="30"/>
        </w:rPr>
        <w:t xml:space="preserve">Senior Executive Vice President, Head of Global Markets Group at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Bank, said </w:t>
      </w:r>
      <w:proofErr w:type="spellStart"/>
      <w:r>
        <w:rPr>
          <w:rFonts w:ascii="Cordia New" w:eastAsia="Cordia New" w:hAnsi="Cordia New" w:cs="Cordia New"/>
          <w:sz w:val="30"/>
          <w:szCs w:val="30"/>
        </w:rPr>
        <w:t>Krungth</w:t>
      </w:r>
      <w:r>
        <w:rPr>
          <w:rFonts w:ascii="Cordia New" w:eastAsia="Cordia New" w:hAnsi="Cordia New" w:cs="Cordia New"/>
          <w:sz w:val="30"/>
          <w:szCs w:val="30"/>
        </w:rPr>
        <w:t>ai</w:t>
      </w:r>
      <w:proofErr w:type="spellEnd"/>
      <w:r>
        <w:rPr>
          <w:rFonts w:ascii="Cordia New" w:eastAsia="Cordia New" w:hAnsi="Cordia New" w:cs="Cordia New"/>
          <w:sz w:val="30"/>
          <w:szCs w:val="30"/>
        </w:rPr>
        <w:t xml:space="preserve"> has always been highly committed to developing financial products and services that cover all diverse needs of customers, including the needs relating to savings and investment. The bank is now preparing to issue and offer a depositary receipt (DR) repr</w:t>
      </w:r>
      <w:r>
        <w:rPr>
          <w:rFonts w:ascii="Cordia New" w:eastAsia="Cordia New" w:hAnsi="Cordia New" w:cs="Cordia New"/>
          <w:sz w:val="30"/>
          <w:szCs w:val="30"/>
        </w:rPr>
        <w:t>esenting foreign common stocks for the first time in Thailand. The DR will represent the shares of global tech companies like Alibaba and Tencent and it will give Thai investors, especially retail ones, an opportunity to invest in foreign shares convenient</w:t>
      </w:r>
      <w:r>
        <w:rPr>
          <w:rFonts w:ascii="Cordia New" w:eastAsia="Cordia New" w:hAnsi="Cordia New" w:cs="Cordia New"/>
          <w:sz w:val="30"/>
          <w:szCs w:val="30"/>
        </w:rPr>
        <w:t xml:space="preserve">ly through the Stock Exchange of Thailand just like trading local shares, without having to open an offshore trading account. </w:t>
      </w:r>
    </w:p>
    <w:p w14:paraId="1D332FB1" w14:textId="77777777" w:rsidR="00E74253" w:rsidRDefault="0046394E">
      <w:pPr>
        <w:pBdr>
          <w:top w:val="nil"/>
          <w:left w:val="nil"/>
          <w:bottom w:val="nil"/>
          <w:right w:val="nil"/>
          <w:between w:val="nil"/>
        </w:pBdr>
        <w:spacing w:after="160"/>
        <w:ind w:firstLine="720"/>
        <w:jc w:val="both"/>
        <w:rPr>
          <w:rFonts w:ascii="Cordia New" w:eastAsia="Cordia New" w:hAnsi="Cordia New" w:cs="Cordia New"/>
          <w:sz w:val="30"/>
          <w:szCs w:val="30"/>
        </w:rPr>
      </w:pPr>
      <w:r>
        <w:rPr>
          <w:rFonts w:ascii="Cordia New" w:eastAsia="Cordia New" w:hAnsi="Cordia New" w:cs="Cordia New"/>
          <w:sz w:val="30"/>
          <w:szCs w:val="30"/>
        </w:rPr>
        <w:t xml:space="preserve">“The issuance and offering of this DR </w:t>
      </w:r>
      <w:proofErr w:type="gramStart"/>
      <w:r>
        <w:rPr>
          <w:rFonts w:ascii="Cordia New" w:eastAsia="Cordia New" w:hAnsi="Cordia New" w:cs="Cordia New"/>
          <w:sz w:val="30"/>
          <w:szCs w:val="30"/>
        </w:rPr>
        <w:t>is</w:t>
      </w:r>
      <w:proofErr w:type="gramEnd"/>
      <w:r>
        <w:rPr>
          <w:rFonts w:ascii="Cordia New" w:eastAsia="Cordia New" w:hAnsi="Cordia New" w:cs="Cordia New"/>
          <w:sz w:val="30"/>
          <w:szCs w:val="30"/>
        </w:rPr>
        <w:t xml:space="preserve"> an upgrade to our investment product range. It eliminates several limitations on foreign stock trading faced by Thai investors, especially its accessibility. It is currently quite a hassle to trade foreign shares. I</w:t>
      </w:r>
      <w:r>
        <w:rPr>
          <w:rFonts w:ascii="Cordia New" w:eastAsia="Cordia New" w:hAnsi="Cordia New" w:cs="Cordia New"/>
          <w:sz w:val="30"/>
          <w:szCs w:val="30"/>
        </w:rPr>
        <w:t>nvestors have to open an offshore trading account, there is a minimum investment requirement, and the trading fee is high. With DR, however, investors can make investment in foreign stocks using the local trading account they already have. The minimum inve</w:t>
      </w:r>
      <w:r>
        <w:rPr>
          <w:rFonts w:ascii="Cordia New" w:eastAsia="Cordia New" w:hAnsi="Cordia New" w:cs="Cordia New"/>
          <w:sz w:val="30"/>
          <w:szCs w:val="30"/>
        </w:rPr>
        <w:t>stment requirement is only 1 DR and they can trade in baht, eliminating the need of currency conversion. This simplifies and makes offshore investment more accessible to Thai investors. The bank, as the DR issuer, will purchase offshore securities, list th</w:t>
      </w:r>
      <w:r>
        <w:rPr>
          <w:rFonts w:ascii="Cordia New" w:eastAsia="Cordia New" w:hAnsi="Cordia New" w:cs="Cordia New"/>
          <w:sz w:val="30"/>
          <w:szCs w:val="30"/>
        </w:rPr>
        <w:t xml:space="preserve">em on the Stock Exchange of Thailand, and update investors with news relating to the stocks. When dividend payment is made to the bank, it will credit the dividend after expense deduction to DR holders,” said </w:t>
      </w:r>
      <w:proofErr w:type="spellStart"/>
      <w:r>
        <w:rPr>
          <w:rFonts w:ascii="Cordia New" w:eastAsia="Cordia New" w:hAnsi="Cordia New" w:cs="Cordia New"/>
          <w:sz w:val="30"/>
          <w:szCs w:val="30"/>
        </w:rPr>
        <w:t>Rawin</w:t>
      </w:r>
      <w:proofErr w:type="spellEnd"/>
      <w:r>
        <w:rPr>
          <w:rFonts w:ascii="Cordia New" w:eastAsia="Cordia New" w:hAnsi="Cordia New" w:cs="Cordia New"/>
          <w:sz w:val="30"/>
          <w:szCs w:val="30"/>
        </w:rPr>
        <w:t xml:space="preserve">. </w:t>
      </w:r>
    </w:p>
    <w:p w14:paraId="4FB94C54" w14:textId="77777777" w:rsidR="00E74253" w:rsidRDefault="0046394E">
      <w:pPr>
        <w:pBdr>
          <w:top w:val="nil"/>
          <w:left w:val="nil"/>
          <w:bottom w:val="nil"/>
          <w:right w:val="nil"/>
          <w:between w:val="nil"/>
        </w:pBdr>
        <w:spacing w:after="160"/>
        <w:ind w:firstLine="720"/>
        <w:jc w:val="both"/>
        <w:rPr>
          <w:rFonts w:ascii="Cordia New" w:eastAsia="Cordia New" w:hAnsi="Cordia New" w:cs="Cordia New"/>
          <w:sz w:val="30"/>
          <w:szCs w:val="30"/>
        </w:rPr>
      </w:pPr>
      <w:r>
        <w:rPr>
          <w:rFonts w:ascii="Cordia New" w:eastAsia="Cordia New" w:hAnsi="Cordia New" w:cs="Cordia New"/>
          <w:sz w:val="30"/>
          <w:szCs w:val="30"/>
        </w:rPr>
        <w:t>The bank assessed that Alibaba and Tenc</w:t>
      </w:r>
      <w:r>
        <w:rPr>
          <w:rFonts w:ascii="Cordia New" w:eastAsia="Cordia New" w:hAnsi="Cordia New" w:cs="Cordia New"/>
          <w:sz w:val="30"/>
          <w:szCs w:val="30"/>
        </w:rPr>
        <w:t xml:space="preserve">ent shares are attractive for investors as they are global tech stocks which receive much interest from both Thai and foreign investors. Their liquidity is high, with </w:t>
      </w:r>
      <w:r>
        <w:rPr>
          <w:rFonts w:ascii="Cordia New" w:eastAsia="Cordia New" w:hAnsi="Cordia New" w:cs="Cordia New"/>
          <w:sz w:val="30"/>
          <w:szCs w:val="30"/>
        </w:rPr>
        <w:lastRenderedPageBreak/>
        <w:t xml:space="preserve">average daily trading volume always within the top 5 in the Stock Exchange of Hong Kong. </w:t>
      </w:r>
      <w:r>
        <w:rPr>
          <w:rFonts w:ascii="Cordia New" w:eastAsia="Cordia New" w:hAnsi="Cordia New" w:cs="Cordia New"/>
          <w:sz w:val="30"/>
          <w:szCs w:val="30"/>
        </w:rPr>
        <w:t>Moreover, in 2021, the stock prices in Hong Kong’s stock exchange were basing and a lot of the bad news has already been priced in. At present, the bank has already obtained permission from the SEC to be a DR issuer and it is currently in the process of ad</w:t>
      </w:r>
      <w:r>
        <w:rPr>
          <w:rFonts w:ascii="Cordia New" w:eastAsia="Cordia New" w:hAnsi="Cordia New" w:cs="Cordia New"/>
          <w:sz w:val="30"/>
          <w:szCs w:val="30"/>
        </w:rPr>
        <w:t xml:space="preserve">ditional filing. It is expected that the DR will be sold on initial public offering (IPO) in early 2022. </w:t>
      </w:r>
    </w:p>
    <w:p w14:paraId="12B200BE" w14:textId="77777777" w:rsidR="00E74253" w:rsidRDefault="0046394E">
      <w:pPr>
        <w:pBdr>
          <w:top w:val="nil"/>
          <w:left w:val="nil"/>
          <w:bottom w:val="nil"/>
          <w:right w:val="nil"/>
          <w:between w:val="nil"/>
        </w:pBdr>
        <w:spacing w:after="160"/>
        <w:ind w:firstLine="720"/>
        <w:jc w:val="both"/>
        <w:rPr>
          <w:rFonts w:ascii="Cordia New" w:eastAsia="Cordia New" w:hAnsi="Cordia New" w:cs="Cordia New"/>
          <w:color w:val="000000"/>
        </w:rPr>
      </w:pPr>
      <w:r>
        <w:rPr>
          <w:rFonts w:ascii="Cordia New" w:eastAsia="Cordia New" w:hAnsi="Cordia New" w:cs="Cordia New"/>
          <w:sz w:val="30"/>
          <w:szCs w:val="30"/>
        </w:rPr>
        <w:t>Apart from the DR representing Alibaba and Tencent shares, the bank is planning to issue DRs representing more popular stocks and ETFs in other exchan</w:t>
      </w:r>
      <w:r>
        <w:rPr>
          <w:rFonts w:ascii="Cordia New" w:eastAsia="Cordia New" w:hAnsi="Cordia New" w:cs="Cordia New"/>
          <w:sz w:val="30"/>
          <w:szCs w:val="30"/>
        </w:rPr>
        <w:t xml:space="preserve">ges, so that Thai investors can enjoy more diverse investment options in global markets for better risk diversification and increasing the chances of getting higher returns. </w:t>
      </w:r>
    </w:p>
    <w:p w14:paraId="51D344C6" w14:textId="77777777" w:rsidR="00E74253" w:rsidRDefault="00E74253">
      <w:pPr>
        <w:pBdr>
          <w:top w:val="nil"/>
          <w:left w:val="nil"/>
          <w:bottom w:val="nil"/>
          <w:right w:val="nil"/>
          <w:between w:val="nil"/>
        </w:pBdr>
        <w:rPr>
          <w:rFonts w:ascii="Cordia New" w:eastAsia="Cordia New" w:hAnsi="Cordia New" w:cs="Cordia New"/>
          <w:color w:val="000000"/>
        </w:rPr>
      </w:pPr>
    </w:p>
    <w:p w14:paraId="31025246" w14:textId="77777777" w:rsidR="00E74253" w:rsidRDefault="0046394E">
      <w:pPr>
        <w:pBdr>
          <w:top w:val="nil"/>
          <w:left w:val="nil"/>
          <w:bottom w:val="nil"/>
          <w:right w:val="nil"/>
          <w:between w:val="nil"/>
        </w:pBdr>
        <w:jc w:val="both"/>
        <w:rPr>
          <w:rFonts w:ascii="Cordia New" w:eastAsia="Cordia New" w:hAnsi="Cordia New" w:cs="Cordia New"/>
        </w:rPr>
      </w:pPr>
      <w:r>
        <w:rPr>
          <w:rFonts w:ascii="Cordia New" w:eastAsia="Cordia New" w:hAnsi="Cordia New" w:cs="Cordia New"/>
          <w:color w:val="000000"/>
          <w:sz w:val="30"/>
          <w:szCs w:val="30"/>
        </w:rPr>
        <w:t>Marketing Strategy Team</w:t>
      </w:r>
    </w:p>
    <w:p w14:paraId="411B01F3" w14:textId="4EE81A53" w:rsidR="00E74253" w:rsidRDefault="0046394E">
      <w:pPr>
        <w:pBdr>
          <w:top w:val="nil"/>
          <w:left w:val="nil"/>
          <w:bottom w:val="nil"/>
          <w:right w:val="nil"/>
          <w:between w:val="nil"/>
        </w:pBdr>
        <w:jc w:val="both"/>
        <w:rPr>
          <w:rFonts w:ascii="Cordia New" w:eastAsia="Cordia New" w:hAnsi="Cordia New" w:cs="Cordia New"/>
          <w:sz w:val="30"/>
          <w:szCs w:val="30"/>
        </w:rPr>
      </w:pPr>
      <w:r>
        <w:rPr>
          <w:rFonts w:ascii="Cordia New" w:eastAsia="Cordia New" w:hAnsi="Cordia New" w:cs="Cordia New"/>
          <w:sz w:val="30"/>
          <w:szCs w:val="30"/>
        </w:rPr>
        <w:t>1</w:t>
      </w:r>
      <w:r w:rsidR="00B262D7">
        <w:rPr>
          <w:rFonts w:ascii="Cordia New" w:eastAsia="Cordia New" w:hAnsi="Cordia New" w:cs="Cordia New"/>
          <w:sz w:val="30"/>
          <w:szCs w:val="30"/>
        </w:rPr>
        <w:t xml:space="preserve">2 </w:t>
      </w:r>
      <w:r>
        <w:rPr>
          <w:rFonts w:ascii="Cordia New" w:eastAsia="Cordia New" w:hAnsi="Cordia New" w:cs="Cordia New"/>
          <w:sz w:val="30"/>
          <w:szCs w:val="30"/>
        </w:rPr>
        <w:t>January 2022</w:t>
      </w:r>
    </w:p>
    <w:p w14:paraId="44269BCC" w14:textId="77777777" w:rsidR="00E74253" w:rsidRDefault="0046394E">
      <w:pPr>
        <w:pBdr>
          <w:top w:val="nil"/>
          <w:left w:val="nil"/>
          <w:bottom w:val="nil"/>
          <w:right w:val="nil"/>
          <w:between w:val="nil"/>
        </w:pBdr>
        <w:spacing w:line="259" w:lineRule="auto"/>
        <w:jc w:val="both"/>
        <w:rPr>
          <w:rFonts w:ascii="Calibri" w:eastAsia="Calibri" w:hAnsi="Calibri" w:cs="Calibri"/>
          <w:color w:val="000000"/>
          <w:sz w:val="22"/>
          <w:szCs w:val="22"/>
        </w:rPr>
      </w:pPr>
      <w:r>
        <w:rPr>
          <w:rFonts w:ascii="Cordia New" w:eastAsia="Cordia New" w:hAnsi="Cordia New" w:cs="Cordia New"/>
          <w:color w:val="000000"/>
          <w:sz w:val="30"/>
          <w:szCs w:val="30"/>
        </w:rPr>
        <w:t xml:space="preserve"> </w:t>
      </w:r>
    </w:p>
    <w:sectPr w:rsidR="00E74253">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515D" w14:textId="77777777" w:rsidR="0046394E" w:rsidRDefault="0046394E">
      <w:r>
        <w:separator/>
      </w:r>
    </w:p>
  </w:endnote>
  <w:endnote w:type="continuationSeparator" w:id="0">
    <w:p w14:paraId="567DF6D7" w14:textId="77777777" w:rsidR="0046394E" w:rsidRDefault="0046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Helvetica Neue">
    <w:altName w:val="Arial"/>
    <w:charset w:val="00"/>
    <w:family w:val="roman"/>
    <w:pitch w:val="default"/>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7B0A" w14:textId="77777777" w:rsidR="00E74253" w:rsidRDefault="00E7425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8CDB" w14:textId="77777777" w:rsidR="0046394E" w:rsidRDefault="0046394E">
      <w:r>
        <w:separator/>
      </w:r>
    </w:p>
  </w:footnote>
  <w:footnote w:type="continuationSeparator" w:id="0">
    <w:p w14:paraId="2C2279A5" w14:textId="77777777" w:rsidR="0046394E" w:rsidRDefault="00463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6C11" w14:textId="77777777" w:rsidR="00E74253" w:rsidRDefault="00E7425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53"/>
    <w:rsid w:val="0046394E"/>
    <w:rsid w:val="00B262D7"/>
    <w:rsid w:val="00E742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4568"/>
  <w15:docId w15:val="{76AF0E2E-ACF8-4653-9A8E-E904BA34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montree.j</cp:lastModifiedBy>
  <cp:revision>2</cp:revision>
  <dcterms:created xsi:type="dcterms:W3CDTF">2022-01-12T09:33:00Z</dcterms:created>
  <dcterms:modified xsi:type="dcterms:W3CDTF">2022-01-12T09:58:00Z</dcterms:modified>
</cp:coreProperties>
</file>