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8C" w:rsidRPr="003258EC" w:rsidRDefault="00D27F8C" w:rsidP="00325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atLeast"/>
        <w:jc w:val="thaiDistribute"/>
        <w:rPr>
          <w:rFonts w:asciiTheme="majorBidi" w:hAnsiTheme="majorBidi" w:cstheme="majorBidi"/>
          <w:sz w:val="32"/>
          <w:szCs w:val="32"/>
        </w:rPr>
      </w:pPr>
    </w:p>
    <w:p w:rsidR="00D27F8C" w:rsidRPr="003258EC" w:rsidRDefault="00811B40" w:rsidP="003258EC">
      <w:pPr>
        <w:spacing w:line="20" w:lineRule="atLeast"/>
        <w:jc w:val="right"/>
        <w:rPr>
          <w:rFonts w:asciiTheme="majorBidi" w:eastAsia="Sarabun" w:hAnsiTheme="majorBidi" w:cstheme="majorBidi"/>
          <w:sz w:val="32"/>
          <w:szCs w:val="32"/>
        </w:rPr>
      </w:pPr>
      <w:r w:rsidRPr="003258EC">
        <w:rPr>
          <w:rFonts w:asciiTheme="majorBidi" w:eastAsia="Sarabun" w:hAnsiTheme="majorBidi" w:cstheme="majorBidi"/>
          <w:sz w:val="32"/>
          <w:szCs w:val="32"/>
          <w:cs/>
        </w:rPr>
        <w:t xml:space="preserve">ข่าวประชาสัมพันธ์ </w:t>
      </w:r>
    </w:p>
    <w:p w:rsidR="00D27F8C" w:rsidRPr="003258EC" w:rsidRDefault="00811B40" w:rsidP="003258EC">
      <w:pPr>
        <w:spacing w:line="20" w:lineRule="atLeast"/>
        <w:jc w:val="right"/>
        <w:rPr>
          <w:rFonts w:asciiTheme="majorBidi" w:eastAsia="Sarabun" w:hAnsiTheme="majorBidi" w:cstheme="majorBidi"/>
          <w:sz w:val="32"/>
          <w:szCs w:val="32"/>
        </w:rPr>
      </w:pPr>
      <w:r w:rsidRPr="003258EC">
        <w:rPr>
          <w:rFonts w:asciiTheme="majorBidi" w:eastAsia="Sarabun" w:hAnsiTheme="majorBidi" w:cstheme="majorBidi"/>
          <w:sz w:val="32"/>
          <w:szCs w:val="32"/>
        </w:rPr>
        <w:t>2</w:t>
      </w:r>
      <w:r w:rsidR="0062303E" w:rsidRPr="003258EC">
        <w:rPr>
          <w:rFonts w:asciiTheme="majorBidi" w:eastAsia="Sarabun" w:hAnsiTheme="majorBidi" w:cstheme="majorBidi"/>
          <w:sz w:val="32"/>
          <w:szCs w:val="32"/>
        </w:rPr>
        <w:t>9</w:t>
      </w:r>
      <w:r w:rsidRPr="003258EC">
        <w:rPr>
          <w:rFonts w:asciiTheme="majorBidi" w:eastAsia="Sarabun" w:hAnsiTheme="majorBidi" w:cstheme="majorBidi"/>
          <w:sz w:val="32"/>
          <w:szCs w:val="32"/>
        </w:rPr>
        <w:t xml:space="preserve"> </w:t>
      </w:r>
      <w:r w:rsidRPr="003258EC">
        <w:rPr>
          <w:rFonts w:asciiTheme="majorBidi" w:eastAsia="Sarabun" w:hAnsiTheme="majorBidi" w:cstheme="majorBidi"/>
          <w:sz w:val="32"/>
          <w:szCs w:val="32"/>
          <w:cs/>
        </w:rPr>
        <w:t xml:space="preserve">เมษายน </w:t>
      </w:r>
      <w:r w:rsidRPr="003258EC">
        <w:rPr>
          <w:rFonts w:asciiTheme="majorBidi" w:eastAsia="Sarabun" w:hAnsiTheme="majorBidi" w:cstheme="majorBidi"/>
          <w:sz w:val="32"/>
          <w:szCs w:val="32"/>
        </w:rPr>
        <w:t>2564</w:t>
      </w:r>
      <w:r w:rsidRPr="003258EC">
        <w:rPr>
          <w:rFonts w:asciiTheme="majorBidi" w:eastAsia="Sarabun" w:hAnsiTheme="majorBidi" w:cstheme="majorBidi"/>
          <w:sz w:val="32"/>
          <w:szCs w:val="32"/>
          <w:cs/>
        </w:rPr>
        <w:t xml:space="preserve"> </w:t>
      </w:r>
    </w:p>
    <w:p w:rsidR="00D27F8C" w:rsidRPr="003258EC" w:rsidRDefault="00811B40" w:rsidP="003258EC">
      <w:pPr>
        <w:spacing w:line="20" w:lineRule="atLeast"/>
        <w:jc w:val="center"/>
        <w:rPr>
          <w:rFonts w:asciiTheme="majorBidi" w:eastAsia="Sarabun" w:hAnsiTheme="majorBidi" w:cstheme="majorBidi"/>
          <w:b/>
          <w:sz w:val="36"/>
          <w:szCs w:val="36"/>
        </w:rPr>
      </w:pPr>
      <w:r w:rsidRPr="003258EC">
        <w:rPr>
          <w:rFonts w:asciiTheme="majorBidi" w:eastAsia="Sarabun" w:hAnsiTheme="majorBidi" w:cstheme="majorBidi"/>
          <w:b/>
          <w:bCs/>
          <w:sz w:val="36"/>
          <w:szCs w:val="36"/>
          <w:cs/>
        </w:rPr>
        <w:t xml:space="preserve">บสย. เผยผลดำเนินงาน ไตรมาส </w:t>
      </w:r>
      <w:r w:rsidRPr="003258EC">
        <w:rPr>
          <w:rFonts w:asciiTheme="majorBidi" w:eastAsia="Sarabun" w:hAnsiTheme="majorBidi" w:cstheme="majorBidi"/>
          <w:b/>
          <w:sz w:val="36"/>
          <w:szCs w:val="36"/>
        </w:rPr>
        <w:t>1</w:t>
      </w:r>
      <w:r w:rsidRPr="003258EC">
        <w:rPr>
          <w:rFonts w:asciiTheme="majorBidi" w:eastAsia="Sarabun" w:hAnsiTheme="majorBidi" w:cstheme="majorBidi"/>
          <w:b/>
          <w:bCs/>
          <w:sz w:val="36"/>
          <w:szCs w:val="36"/>
          <w:cs/>
        </w:rPr>
        <w:t>/</w:t>
      </w:r>
      <w:r w:rsidRPr="003258EC">
        <w:rPr>
          <w:rFonts w:asciiTheme="majorBidi" w:eastAsia="Sarabun" w:hAnsiTheme="majorBidi" w:cstheme="majorBidi"/>
          <w:b/>
          <w:sz w:val="36"/>
          <w:szCs w:val="36"/>
        </w:rPr>
        <w:t>2564</w:t>
      </w:r>
    </w:p>
    <w:p w:rsidR="00D27F8C" w:rsidRPr="003258EC" w:rsidRDefault="00811B40" w:rsidP="003258EC">
      <w:pPr>
        <w:spacing w:line="20" w:lineRule="atLeast"/>
        <w:jc w:val="center"/>
        <w:rPr>
          <w:rFonts w:asciiTheme="majorBidi" w:eastAsia="Sarabun" w:hAnsiTheme="majorBidi" w:cstheme="majorBidi"/>
          <w:color w:val="FF0000"/>
          <w:sz w:val="36"/>
          <w:szCs w:val="36"/>
        </w:rPr>
      </w:pPr>
      <w:r w:rsidRPr="003258EC">
        <w:rPr>
          <w:rFonts w:asciiTheme="majorBidi" w:eastAsia="Sarabun" w:hAnsiTheme="majorBidi" w:cstheme="majorBidi"/>
          <w:b/>
          <w:bCs/>
          <w:sz w:val="36"/>
          <w:szCs w:val="36"/>
          <w:cs/>
        </w:rPr>
        <w:t xml:space="preserve">ยอดค้ำฯ พุ่ง </w:t>
      </w:r>
      <w:r w:rsidRPr="003258EC">
        <w:rPr>
          <w:rFonts w:asciiTheme="majorBidi" w:eastAsia="Sarabun" w:hAnsiTheme="majorBidi" w:cstheme="majorBidi"/>
          <w:b/>
          <w:sz w:val="36"/>
          <w:szCs w:val="36"/>
        </w:rPr>
        <w:t xml:space="preserve">40,570 </w:t>
      </w:r>
      <w:r w:rsidRPr="003258EC">
        <w:rPr>
          <w:rFonts w:asciiTheme="majorBidi" w:eastAsia="Sarabun" w:hAnsiTheme="majorBidi" w:cstheme="majorBidi"/>
          <w:b/>
          <w:bCs/>
          <w:sz w:val="36"/>
          <w:szCs w:val="36"/>
          <w:cs/>
        </w:rPr>
        <w:t xml:space="preserve">ล้านบาท ช่วย </w:t>
      </w:r>
      <w:r w:rsidRPr="003258EC">
        <w:rPr>
          <w:rFonts w:asciiTheme="majorBidi" w:eastAsia="Sarabun" w:hAnsiTheme="majorBidi" w:cstheme="majorBidi"/>
          <w:b/>
          <w:sz w:val="36"/>
          <w:szCs w:val="36"/>
        </w:rPr>
        <w:t xml:space="preserve">SMEs </w:t>
      </w:r>
      <w:r w:rsidRPr="003258EC">
        <w:rPr>
          <w:rFonts w:asciiTheme="majorBidi" w:eastAsia="Sarabun" w:hAnsiTheme="majorBidi" w:cstheme="majorBidi"/>
          <w:b/>
          <w:bCs/>
          <w:sz w:val="36"/>
          <w:szCs w:val="36"/>
          <w:cs/>
        </w:rPr>
        <w:t>ไทย ฝ่าวิกฤต</w:t>
      </w:r>
    </w:p>
    <w:p w:rsidR="00D27F8C" w:rsidRPr="003258EC" w:rsidRDefault="00D27F8C" w:rsidP="003258EC">
      <w:pPr>
        <w:spacing w:line="20" w:lineRule="atLeast"/>
        <w:jc w:val="thaiDistribute"/>
        <w:rPr>
          <w:rFonts w:asciiTheme="majorBidi" w:eastAsia="Sarabun" w:hAnsiTheme="majorBidi" w:cstheme="majorBidi"/>
          <w:color w:val="FF0000"/>
          <w:sz w:val="36"/>
          <w:szCs w:val="36"/>
        </w:rPr>
      </w:pPr>
    </w:p>
    <w:p w:rsidR="00D27F8C" w:rsidRPr="003258EC" w:rsidRDefault="00811B40" w:rsidP="003258EC">
      <w:pPr>
        <w:spacing w:line="20" w:lineRule="atLeast"/>
        <w:ind w:firstLine="717"/>
        <w:jc w:val="thaiDistribute"/>
        <w:rPr>
          <w:rFonts w:asciiTheme="majorBidi" w:eastAsia="Sarabun" w:hAnsiTheme="majorBidi" w:cstheme="majorBidi"/>
          <w:b/>
          <w:sz w:val="36"/>
          <w:szCs w:val="36"/>
        </w:rPr>
      </w:pPr>
      <w:r w:rsidRPr="003258EC">
        <w:rPr>
          <w:rFonts w:asciiTheme="majorBidi" w:eastAsia="Sarabun" w:hAnsiTheme="majorBidi" w:cstheme="majorBidi"/>
          <w:b/>
          <w:bCs/>
          <w:sz w:val="36"/>
          <w:szCs w:val="36"/>
          <w:cs/>
        </w:rPr>
        <w:t xml:space="preserve">บรรษัทประกันสินเชื่ออุตสาหกรรมขนาดย่อม (บสย.) เผย ผลดำเนินงานค้ำประกันสินเชื่อไตรมาสที่ </w:t>
      </w:r>
      <w:r w:rsidRPr="003258EC">
        <w:rPr>
          <w:rFonts w:asciiTheme="majorBidi" w:eastAsia="Sarabun" w:hAnsiTheme="majorBidi" w:cstheme="majorBidi"/>
          <w:b/>
          <w:sz w:val="36"/>
          <w:szCs w:val="36"/>
        </w:rPr>
        <w:t xml:space="preserve">1 </w:t>
      </w:r>
      <w:r w:rsidRPr="003258EC">
        <w:rPr>
          <w:rFonts w:asciiTheme="majorBidi" w:eastAsia="Sarabun" w:hAnsiTheme="majorBidi" w:cstheme="majorBidi"/>
          <w:b/>
          <w:bCs/>
          <w:sz w:val="36"/>
          <w:szCs w:val="36"/>
          <w:cs/>
        </w:rPr>
        <w:t xml:space="preserve">มกราคม - มีนาคม </w:t>
      </w:r>
      <w:r w:rsidRPr="003258EC">
        <w:rPr>
          <w:rFonts w:asciiTheme="majorBidi" w:eastAsia="Sarabun" w:hAnsiTheme="majorBidi" w:cstheme="majorBidi"/>
          <w:b/>
          <w:sz w:val="36"/>
          <w:szCs w:val="36"/>
        </w:rPr>
        <w:t xml:space="preserve">2564 </w:t>
      </w:r>
      <w:r w:rsidRPr="003258EC">
        <w:rPr>
          <w:rFonts w:asciiTheme="majorBidi" w:eastAsia="Sarabun" w:hAnsiTheme="majorBidi" w:cstheme="majorBidi"/>
          <w:b/>
          <w:bCs/>
          <w:sz w:val="36"/>
          <w:szCs w:val="36"/>
          <w:cs/>
        </w:rPr>
        <w:t xml:space="preserve">ยอดอนุมัติค้ำประกันสินเชื่อพุ่ง </w:t>
      </w:r>
      <w:r w:rsidRPr="003258EC">
        <w:rPr>
          <w:rFonts w:asciiTheme="majorBidi" w:eastAsia="Sarabun" w:hAnsiTheme="majorBidi" w:cstheme="majorBidi"/>
          <w:b/>
          <w:sz w:val="36"/>
          <w:szCs w:val="36"/>
        </w:rPr>
        <w:t xml:space="preserve">40,570 </w:t>
      </w:r>
      <w:r w:rsidRPr="003258EC">
        <w:rPr>
          <w:rFonts w:asciiTheme="majorBidi" w:eastAsia="Sarabun" w:hAnsiTheme="majorBidi" w:cstheme="majorBidi"/>
          <w:b/>
          <w:bCs/>
          <w:sz w:val="36"/>
          <w:szCs w:val="36"/>
          <w:cs/>
        </w:rPr>
        <w:t xml:space="preserve">ล้านบาทเพิ่มขึ้น </w:t>
      </w:r>
      <w:r w:rsidRPr="003258EC">
        <w:rPr>
          <w:rFonts w:asciiTheme="majorBidi" w:eastAsia="Sarabun" w:hAnsiTheme="majorBidi" w:cstheme="majorBidi"/>
          <w:b/>
          <w:sz w:val="36"/>
          <w:szCs w:val="36"/>
        </w:rPr>
        <w:t>16</w:t>
      </w:r>
      <w:r w:rsidRPr="003258EC">
        <w:rPr>
          <w:rFonts w:asciiTheme="majorBidi" w:eastAsia="Sarabun" w:hAnsiTheme="majorBidi" w:cstheme="majorBidi"/>
          <w:b/>
          <w:bCs/>
          <w:sz w:val="36"/>
          <w:szCs w:val="36"/>
          <w:cs/>
        </w:rPr>
        <w:t>.</w:t>
      </w:r>
      <w:r w:rsidRPr="003258EC">
        <w:rPr>
          <w:rFonts w:asciiTheme="majorBidi" w:eastAsia="Sarabun" w:hAnsiTheme="majorBidi" w:cstheme="majorBidi"/>
          <w:b/>
          <w:sz w:val="36"/>
          <w:szCs w:val="36"/>
        </w:rPr>
        <w:t>6</w:t>
      </w:r>
      <w:r w:rsidRPr="003258EC">
        <w:rPr>
          <w:rFonts w:asciiTheme="majorBidi" w:eastAsia="Sarabun" w:hAnsiTheme="majorBidi" w:cstheme="majorBidi"/>
          <w:b/>
          <w:bCs/>
          <w:sz w:val="36"/>
          <w:szCs w:val="36"/>
          <w:cs/>
        </w:rPr>
        <w:t xml:space="preserve">% </w:t>
      </w:r>
    </w:p>
    <w:p w:rsidR="0062303E" w:rsidRPr="003258EC" w:rsidRDefault="0062303E" w:rsidP="003258EC">
      <w:pPr>
        <w:spacing w:line="20" w:lineRule="atLeast"/>
        <w:ind w:firstLine="717"/>
        <w:jc w:val="thaiDistribute"/>
        <w:rPr>
          <w:rFonts w:asciiTheme="majorBidi" w:eastAsia="Sarabun" w:hAnsiTheme="majorBidi" w:cstheme="majorBidi"/>
          <w:b/>
          <w:sz w:val="36"/>
          <w:szCs w:val="36"/>
        </w:rPr>
      </w:pPr>
    </w:p>
    <w:p w:rsidR="00D27F8C" w:rsidRPr="003258EC" w:rsidRDefault="00811B40" w:rsidP="003258EC">
      <w:pPr>
        <w:spacing w:line="20" w:lineRule="atLeast"/>
        <w:ind w:firstLine="717"/>
        <w:jc w:val="thaiDistribute"/>
        <w:rPr>
          <w:rFonts w:asciiTheme="majorBidi" w:eastAsia="Sarabun" w:hAnsiTheme="majorBidi" w:cstheme="majorBidi"/>
          <w:sz w:val="36"/>
          <w:szCs w:val="36"/>
        </w:rPr>
      </w:pP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นางวสุกานต์ วิศาลสวัสดิ์ รักษาการผู้จัดการทั่วไป บรรษัทประกันสินเชื่ออุตสาหกรรมขนาดย่อม (บสย.) เปิดเผยว่า ผลดำเนินงานค้ำประกันสินเชื่อ บสย. ไตรมาสที่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1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มกราคม - มีนาคม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2564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มียอดอนุมัติค้ำประกันสินเชื่อ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40,570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ล้านบาท เพิ่มขึ้น </w:t>
      </w:r>
      <w:r w:rsidRPr="003258EC">
        <w:rPr>
          <w:rFonts w:asciiTheme="majorBidi" w:eastAsia="Sarabun" w:hAnsiTheme="majorBidi" w:cstheme="majorBidi"/>
          <w:sz w:val="36"/>
          <w:szCs w:val="36"/>
        </w:rPr>
        <w:t>16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>.</w:t>
      </w:r>
      <w:r w:rsidRPr="003258EC">
        <w:rPr>
          <w:rFonts w:asciiTheme="majorBidi" w:eastAsia="Sarabun" w:hAnsiTheme="majorBidi" w:cstheme="majorBidi"/>
          <w:sz w:val="36"/>
          <w:szCs w:val="36"/>
        </w:rPr>
        <w:t>6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>% เมื่อเทียบกับระยะเวลาเดียวกันของปีก่อน ส่วนการอนุมัติหนังสือค้ำประกัน (</w:t>
      </w:r>
      <w:r w:rsidRPr="003258EC">
        <w:rPr>
          <w:rFonts w:asciiTheme="majorBidi" w:eastAsia="Sarabun" w:hAnsiTheme="majorBidi" w:cstheme="majorBidi"/>
          <w:sz w:val="36"/>
          <w:szCs w:val="36"/>
        </w:rPr>
        <w:t>LG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) มียอดอนุมัติจำนวน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60,172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ฉบับ ลดลงเล็กน้อยจากปีที่ผ่านมา ซึ่งมียอดอนุมัติจำนวน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61,471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ฉบับ เนื่องจากวงเงินค้ำประกันสินเชื่อต่อ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LG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หรือ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Ticket Size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สูงขึ้น ในอัตราเฉลี่ย </w:t>
      </w:r>
      <w:r w:rsidRPr="003258EC">
        <w:rPr>
          <w:rFonts w:asciiTheme="majorBidi" w:eastAsia="Sarabun" w:hAnsiTheme="majorBidi" w:cstheme="majorBidi"/>
          <w:sz w:val="36"/>
          <w:szCs w:val="36"/>
        </w:rPr>
        <w:t>0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>.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67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ล้านบาท เทียบกับระยะเวลาเดียวกันปีก่อนที่ </w:t>
      </w:r>
      <w:r w:rsidRPr="003258EC">
        <w:rPr>
          <w:rFonts w:asciiTheme="majorBidi" w:eastAsia="Sarabun" w:hAnsiTheme="majorBidi" w:cstheme="majorBidi"/>
          <w:sz w:val="36"/>
          <w:szCs w:val="36"/>
        </w:rPr>
        <w:t>0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>.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57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ล้านบาท และช่วยผู้ประกอบการ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SMEs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ได้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59,595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ราย  โดยสัดส่วนการค้ำประกันของ บสย. ต่อจำนวน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SMEs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ทั้งระบบ หรือ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SME Penetration Rate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ไตรมาส </w:t>
      </w:r>
      <w:r w:rsidRPr="003258EC">
        <w:rPr>
          <w:rFonts w:asciiTheme="majorBidi" w:eastAsia="Sarabun" w:hAnsiTheme="majorBidi" w:cstheme="majorBidi"/>
          <w:sz w:val="36"/>
          <w:szCs w:val="36"/>
        </w:rPr>
        <w:t>1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>/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2564 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ที่ </w:t>
      </w:r>
      <w:r w:rsidRPr="003258EC">
        <w:rPr>
          <w:rFonts w:asciiTheme="majorBidi" w:eastAsia="Sarabun" w:hAnsiTheme="majorBidi" w:cstheme="majorBidi"/>
          <w:sz w:val="36"/>
          <w:szCs w:val="36"/>
        </w:rPr>
        <w:t>18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>.</w:t>
      </w:r>
      <w:r w:rsidRPr="003258EC">
        <w:rPr>
          <w:rFonts w:asciiTheme="majorBidi" w:eastAsia="Sarabun" w:hAnsiTheme="majorBidi" w:cstheme="majorBidi"/>
          <w:sz w:val="36"/>
          <w:szCs w:val="36"/>
        </w:rPr>
        <w:t>7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% เพิ่มขึ้นจาก </w:t>
      </w:r>
      <w:r w:rsidRPr="003258EC">
        <w:rPr>
          <w:rFonts w:asciiTheme="majorBidi" w:eastAsia="Sarabun" w:hAnsiTheme="majorBidi" w:cstheme="majorBidi"/>
          <w:sz w:val="36"/>
          <w:szCs w:val="36"/>
        </w:rPr>
        <w:t>17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>.</w:t>
      </w:r>
      <w:r w:rsidRPr="003258EC">
        <w:rPr>
          <w:rFonts w:asciiTheme="majorBidi" w:eastAsia="Sarabun" w:hAnsiTheme="majorBidi" w:cstheme="majorBidi"/>
          <w:sz w:val="36"/>
          <w:szCs w:val="36"/>
        </w:rPr>
        <w:t>5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% ณ สิ้นปี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2563   </w:t>
      </w:r>
    </w:p>
    <w:p w:rsidR="00D27F8C" w:rsidRPr="003258EC" w:rsidRDefault="00811B40" w:rsidP="003258EC">
      <w:pPr>
        <w:spacing w:before="120" w:line="20" w:lineRule="atLeast"/>
        <w:ind w:firstLine="714"/>
        <w:jc w:val="thaiDistribute"/>
        <w:rPr>
          <w:rFonts w:asciiTheme="majorBidi" w:eastAsia="Sarabun" w:hAnsiTheme="majorBidi" w:cstheme="majorBidi"/>
          <w:sz w:val="36"/>
          <w:szCs w:val="36"/>
        </w:rPr>
      </w:pP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ผลดำเนินงานไตรมาส </w:t>
      </w:r>
      <w:r w:rsidRPr="003258EC">
        <w:rPr>
          <w:rFonts w:asciiTheme="majorBidi" w:eastAsia="Sarabun" w:hAnsiTheme="majorBidi" w:cstheme="majorBidi"/>
          <w:sz w:val="36"/>
          <w:szCs w:val="36"/>
        </w:rPr>
        <w:t>1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>/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2564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ประสบความสำเร็จตามเป้าหมายด้วยความร่วมมือของทีมงาน บสย. ทุกฝ่าย ที่ได้ยกระดับการพัฒนาประสิทธิภาพการทำงานภายในองค์กรในช่วงที่ผ่านมา นำไปสู่การเปลี่ยนแปลงกระบวนการทำงานให้รวดเร็ว และแม่นยำยิ่งขึ้น รวมถึงการพัฒนาระบบเทคโนโลยีสารสนเทศ เพื่อช่วยให้ผู้ประกอบการ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SMEs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ที่กำลังประสบปัญหาด้านสภาพคล่องและต้องการเงินทุน ให้สามารถเข้าถึงแหล่งทุน และได้รับสินเชื่ออย่างรวดเร็วในช่วงวิกฤต </w:t>
      </w:r>
      <w:proofErr w:type="spellStart"/>
      <w:r w:rsidRPr="003258EC">
        <w:rPr>
          <w:rFonts w:asciiTheme="majorBidi" w:eastAsia="Sarabun" w:hAnsiTheme="majorBidi" w:cstheme="majorBidi"/>
          <w:sz w:val="36"/>
          <w:szCs w:val="36"/>
        </w:rPr>
        <w:t>Covid</w:t>
      </w:r>
      <w:proofErr w:type="spellEnd"/>
      <w:r w:rsidRPr="003258EC">
        <w:rPr>
          <w:rFonts w:asciiTheme="majorBidi" w:eastAsia="Sarabun" w:hAnsiTheme="majorBidi" w:cstheme="majorBidi"/>
          <w:sz w:val="36"/>
          <w:szCs w:val="36"/>
          <w:cs/>
        </w:rPr>
        <w:t>-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19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ตามที่ </w:t>
      </w:r>
      <w:proofErr w:type="spellStart"/>
      <w:r w:rsidRPr="003258EC">
        <w:rPr>
          <w:rFonts w:asciiTheme="majorBidi" w:eastAsia="Sarabun" w:hAnsiTheme="majorBidi" w:cstheme="majorBidi"/>
          <w:sz w:val="36"/>
          <w:szCs w:val="36"/>
          <w:cs/>
        </w:rPr>
        <w:t>บสย</w:t>
      </w:r>
      <w:proofErr w:type="spellEnd"/>
      <w:r w:rsidRPr="003258EC">
        <w:rPr>
          <w:rFonts w:asciiTheme="majorBidi" w:eastAsia="Sarabun" w:hAnsiTheme="majorBidi" w:cstheme="majorBidi"/>
          <w:sz w:val="36"/>
          <w:szCs w:val="36"/>
          <w:cs/>
        </w:rPr>
        <w:t>.</w:t>
      </w:r>
      <w:r w:rsidR="0062303E"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ได้ประกาศแผนการทำงานเชิงรุก ทำหน้าที่เป็นกลไกของรัฐ ในบทบาทนายธนาคารข้างถนน “ค้ำประกันสินเชื่อ  ช่วย </w:t>
      </w:r>
      <w:r w:rsidRPr="003258EC">
        <w:rPr>
          <w:rFonts w:asciiTheme="majorBidi" w:eastAsia="Sarabun" w:hAnsiTheme="majorBidi" w:cstheme="majorBidi"/>
          <w:sz w:val="36"/>
          <w:szCs w:val="36"/>
        </w:rPr>
        <w:t>SMEs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” 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lastRenderedPageBreak/>
        <w:t xml:space="preserve">ซึ่งผลการทำงานร่วมกันระหว่าง บสย. และสถาบันการเงินผู้ปล่อยสินเชื่อ ส่งผลให้ผู้ประกอบการ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SMEs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ได้รับสินเชื่อต่อ </w:t>
      </w:r>
      <w:r w:rsidRPr="003258EC">
        <w:rPr>
          <w:rFonts w:asciiTheme="majorBidi" w:eastAsia="Sarabun" w:hAnsiTheme="majorBidi" w:cstheme="majorBidi"/>
          <w:sz w:val="36"/>
          <w:szCs w:val="36"/>
        </w:rPr>
        <w:t>LG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 เพิ่มขึ้น และยังมีสัดส่วนการค้ำประกันสินเชื่อต่อจำนวน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SMEs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เพิ่มขึ้นอย่างมีนัยสำคัญ </w:t>
      </w:r>
    </w:p>
    <w:p w:rsidR="00D27F8C" w:rsidRPr="003258EC" w:rsidRDefault="00811B40" w:rsidP="003258EC">
      <w:pPr>
        <w:spacing w:before="120" w:line="20" w:lineRule="atLeast"/>
        <w:ind w:firstLine="714"/>
        <w:jc w:val="thaiDistribute"/>
        <w:rPr>
          <w:rFonts w:asciiTheme="majorBidi" w:eastAsia="Sarabun" w:hAnsiTheme="majorBidi" w:cstheme="majorBidi"/>
          <w:sz w:val="36"/>
          <w:szCs w:val="36"/>
        </w:rPr>
      </w:pP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สำหรับการดำเนินงานไตรมาส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2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บสย.ให้ความสำคัญกับมาตรการรัฐบาลช่วยเหลือผู้ประกอบการธุรกิจเข้าถึงสินเชื่อต่อเนื่อง จับมือกระทรวงการคลังและธนาคารแห่งประเทศไทย ในโครงการค้ำประกันสินเชื่อฟื้นฟู ตาม พ.ร.ก.การให้ความช่วยเหลือและฟื้นฟูผู้ประกอบธุรกิจที่ได้รับผลกระทบจากการระบาดของโรคติดเชื้อไวรัสโคโรนา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2019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พ.ศ.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2564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เฟสแรกวงเงิน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100,000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ล้านบาท ที่เปิดกว้างและเอื้อประโยชน์แก่ผู้ประกอบการธุรกิจทุกประเภท อีกทั้งยังเพิ่มโอกาสการเข้าถึงสินเชื่อให้ง่ายขึ้น โดยใช้กลไก บสย.ค้ำประกันสินเชื่อให้ผู้ประกอบการธุรกิจทุกรายที่ผ่านการอนุมัติจากธนาคารแห่งประเทศไทย </w:t>
      </w:r>
    </w:p>
    <w:p w:rsidR="00D27F8C" w:rsidRPr="003258EC" w:rsidRDefault="00811B40" w:rsidP="003258EC">
      <w:pPr>
        <w:spacing w:before="120" w:line="20" w:lineRule="atLeast"/>
        <w:ind w:firstLine="714"/>
        <w:jc w:val="thaiDistribute"/>
        <w:rPr>
          <w:rFonts w:asciiTheme="majorBidi" w:eastAsia="Sarabun" w:hAnsiTheme="majorBidi" w:cstheme="majorBidi"/>
          <w:sz w:val="36"/>
          <w:szCs w:val="36"/>
        </w:rPr>
      </w:pP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นอกจากนี้ บสย. ยังมี โครงการค้ำประกันสินเชื่ออื่นๆ ที่พร้อมให้ความช่วยเหลือผู้ประกอบการ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SMEs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ได้แก่โครงการค้ำประกันสินเชื่อ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PGS9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จำนวน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82,000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ล้านบาท และ โครงการค้ำประกันสินเชื่อ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Micro 4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จำนวน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13,500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ล้านบาท ซึ่งทั้ง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2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โครงการจะสิ้นสุดในเดือนพฤศจิกายน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2565    </w:t>
      </w:r>
    </w:p>
    <w:p w:rsidR="0062303E" w:rsidRPr="003258EC" w:rsidRDefault="00811B40" w:rsidP="003258EC">
      <w:pPr>
        <w:spacing w:before="120" w:line="20" w:lineRule="atLeast"/>
        <w:ind w:firstLine="714"/>
        <w:jc w:val="thaiDistribute"/>
        <w:rPr>
          <w:rFonts w:asciiTheme="majorBidi" w:eastAsia="Sarabun" w:hAnsiTheme="majorBidi" w:cstheme="majorBidi"/>
          <w:sz w:val="36"/>
          <w:szCs w:val="36"/>
        </w:rPr>
      </w:pP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ทิศทางการดำเนินงาน บสย. ยังเดินหน้าตามแผนงานที่วางไว้ คือการปรับรูปแบบการดำเนินธุรกิจสร้างรายได้จาก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Core Business 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>อาทิ ธุรกรรมการค้ำประกัน การเพิ่ม</w:t>
      </w:r>
      <w:r w:rsidRPr="003258EC">
        <w:rPr>
          <w:rFonts w:asciiTheme="majorBidi" w:eastAsia="Sarabun" w:hAnsiTheme="majorBidi" w:cstheme="majorBidi"/>
          <w:sz w:val="36"/>
          <w:szCs w:val="36"/>
          <w:highlight w:val="white"/>
          <w:cs/>
        </w:rPr>
        <w:t>รายได้จากการเก็บหนี้ บริหารเงินลงทุน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 และ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Service Fee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รวมถึงการปรับสาขาให้เป็น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Profit Center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>เพื่อสร้างรายได้จากธุรกรรมค้ำประกัน นอกจากนี้ยังเดินหน้า โครงการพัฒนาระบบ</w:t>
      </w:r>
      <w:r w:rsidRPr="003258EC">
        <w:rPr>
          <w:rFonts w:asciiTheme="majorBidi" w:eastAsia="Sarabun" w:hAnsiTheme="majorBidi" w:cstheme="majorBidi"/>
          <w:sz w:val="36"/>
          <w:szCs w:val="36"/>
          <w:highlight w:val="white"/>
        </w:rPr>
        <w:t xml:space="preserve"> Core Guarantee System </w:t>
      </w:r>
      <w:r w:rsidRPr="003258EC">
        <w:rPr>
          <w:rFonts w:asciiTheme="majorBidi" w:eastAsia="Sarabun" w:hAnsiTheme="majorBidi" w:cstheme="majorBidi"/>
          <w:sz w:val="36"/>
          <w:szCs w:val="36"/>
          <w:highlight w:val="white"/>
          <w:cs/>
        </w:rPr>
        <w:t xml:space="preserve">หรือ </w:t>
      </w:r>
      <w:r w:rsidRPr="003258EC">
        <w:rPr>
          <w:rFonts w:asciiTheme="majorBidi" w:eastAsia="Sarabun" w:hAnsiTheme="majorBidi" w:cstheme="majorBidi"/>
          <w:sz w:val="36"/>
          <w:szCs w:val="36"/>
          <w:highlight w:val="white"/>
        </w:rPr>
        <w:t>CGS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 ซึ่งเป็นโครงการเพิ่มประสิทธิภาพ</w:t>
      </w:r>
      <w:r w:rsidRPr="003258EC">
        <w:rPr>
          <w:rFonts w:asciiTheme="majorBidi" w:eastAsia="Sarabun" w:hAnsiTheme="majorBidi" w:cstheme="majorBidi"/>
          <w:sz w:val="36"/>
          <w:szCs w:val="36"/>
          <w:highlight w:val="white"/>
          <w:cs/>
        </w:rPr>
        <w:t>และกระบวนการทำงานด้านการค้ำประกัน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คาดว่าจะเริ่มเปิดระบบทดสอบการใช้งานได้ในปลายไตรมาส </w:t>
      </w:r>
      <w:r w:rsidRPr="003258EC">
        <w:rPr>
          <w:rFonts w:asciiTheme="majorBidi" w:eastAsia="Sarabun" w:hAnsiTheme="majorBidi" w:cstheme="majorBidi"/>
          <w:sz w:val="36"/>
          <w:szCs w:val="36"/>
        </w:rPr>
        <w:t xml:space="preserve">2 </w:t>
      </w:r>
      <w:r w:rsidRPr="003258EC">
        <w:rPr>
          <w:rFonts w:asciiTheme="majorBidi" w:eastAsia="Sarabun" w:hAnsiTheme="majorBidi" w:cstheme="majorBidi"/>
          <w:sz w:val="36"/>
          <w:szCs w:val="36"/>
          <w:cs/>
        </w:rPr>
        <w:t xml:space="preserve">เป็นต้นไป </w:t>
      </w:r>
    </w:p>
    <w:p w:rsidR="0062303E" w:rsidRPr="003258EC" w:rsidRDefault="0062303E" w:rsidP="003258EC">
      <w:pPr>
        <w:spacing w:line="20" w:lineRule="atLeast"/>
        <w:ind w:firstLine="717"/>
        <w:jc w:val="thaiDistribute"/>
        <w:rPr>
          <w:rFonts w:asciiTheme="majorBidi" w:eastAsia="Sarabun" w:hAnsiTheme="majorBidi" w:cstheme="majorBidi"/>
          <w:sz w:val="36"/>
          <w:szCs w:val="36"/>
        </w:rPr>
      </w:pPr>
    </w:p>
    <w:p w:rsidR="00D27F8C" w:rsidRPr="003258EC" w:rsidRDefault="00811B40" w:rsidP="003258EC">
      <w:pPr>
        <w:spacing w:line="20" w:lineRule="atLeast"/>
        <w:jc w:val="center"/>
        <w:rPr>
          <w:rFonts w:asciiTheme="majorBidi" w:eastAsia="Sarabun" w:hAnsiTheme="majorBidi" w:cstheme="majorBidi"/>
          <w:i/>
          <w:sz w:val="36"/>
          <w:szCs w:val="36"/>
          <w:u w:val="single"/>
        </w:rPr>
      </w:pPr>
      <w:r w:rsidRPr="003258EC">
        <w:rPr>
          <w:rFonts w:asciiTheme="majorBidi" w:eastAsia="Sarabun" w:hAnsiTheme="majorBidi" w:cstheme="majorBidi"/>
          <w:sz w:val="36"/>
          <w:szCs w:val="36"/>
          <w:cs/>
        </w:rPr>
        <w:t>*****************</w:t>
      </w:r>
      <w:bookmarkStart w:id="0" w:name="_GoBack"/>
      <w:bookmarkEnd w:id="0"/>
      <w:r w:rsidRPr="003258EC">
        <w:rPr>
          <w:rFonts w:asciiTheme="majorBidi" w:eastAsia="Sarabun" w:hAnsiTheme="majorBidi" w:cstheme="majorBidi"/>
          <w:sz w:val="36"/>
          <w:szCs w:val="36"/>
          <w:cs/>
        </w:rPr>
        <w:t>********</w:t>
      </w:r>
    </w:p>
    <w:p w:rsidR="00D27F8C" w:rsidRPr="003258EC" w:rsidRDefault="00D27F8C" w:rsidP="003258EC">
      <w:pPr>
        <w:spacing w:line="20" w:lineRule="atLeast"/>
        <w:ind w:firstLine="720"/>
        <w:jc w:val="thaiDistribute"/>
        <w:rPr>
          <w:rFonts w:asciiTheme="majorBidi" w:eastAsia="Sarabun" w:hAnsiTheme="majorBidi" w:cstheme="majorBidi"/>
          <w:sz w:val="36"/>
          <w:szCs w:val="36"/>
        </w:rPr>
      </w:pPr>
    </w:p>
    <w:sectPr w:rsidR="00D27F8C" w:rsidRPr="003258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378" w:right="1558" w:bottom="1702" w:left="1701" w:header="70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9C" w:rsidRDefault="003F639C">
      <w:pPr>
        <w:spacing w:line="240" w:lineRule="auto"/>
      </w:pPr>
      <w:r>
        <w:separator/>
      </w:r>
    </w:p>
  </w:endnote>
  <w:endnote w:type="continuationSeparator" w:id="0">
    <w:p w:rsidR="003F639C" w:rsidRDefault="003F6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8C" w:rsidRDefault="00D27F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  <w:sz w:val="18"/>
        <w:szCs w:val="18"/>
      </w:rPr>
    </w:pPr>
  </w:p>
  <w:p w:rsidR="00D27F8C" w:rsidRDefault="00D27F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9C" w:rsidRDefault="003F639C">
      <w:pPr>
        <w:spacing w:line="240" w:lineRule="auto"/>
      </w:pPr>
      <w:r>
        <w:separator/>
      </w:r>
    </w:p>
  </w:footnote>
  <w:footnote w:type="continuationSeparator" w:id="0">
    <w:p w:rsidR="003F639C" w:rsidRDefault="003F6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8C" w:rsidRDefault="00D27F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8C" w:rsidRDefault="003F63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Cs w:val="22"/>
      </w:rPr>
    </w:pPr>
    <w:r>
      <w:rPr>
        <w:color w:val="000000"/>
        <w:szCs w:val="22"/>
      </w:rPr>
      <w:pict w14:anchorId="35026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6" o:spid="_x0000_s2049" type="#_x0000_t75" style="position:absolute;margin-left:-72.25pt;margin-top:-105.5pt;width:280.4pt;height:101.6pt;z-index:-251658240;mso-position-horizontal:absolute;mso-position-horizontal-relative:margin;mso-position-vertical:absolute;mso-position-vertical-relative:margin" o:allowincell="f">
          <v:imagedata r:id="rId1" o:title="AW_tcg_letterhead_TH" cropbottom="56615f" cropright="30709f"/>
          <w10:wrap anchorx="margin" anchory="margin"/>
        </v:shape>
      </w:pict>
    </w:r>
    <w:r w:rsidR="00811B40">
      <w:rPr>
        <w:color w:val="000000"/>
        <w:szCs w:val="22"/>
      </w:rPr>
      <w:tab/>
    </w:r>
    <w:r w:rsidR="00811B40">
      <w:rPr>
        <w:color w:val="000000"/>
        <w:szCs w:val="22"/>
      </w:rPr>
      <w:tab/>
    </w:r>
    <w:r w:rsidR="00811B40">
      <w:rPr>
        <w:noProof/>
      </w:rPr>
      <mc:AlternateContent>
        <mc:Choice Requires="wpg">
          <w:drawing>
            <wp:anchor distT="4294967295" distB="4294967295" distL="114300" distR="114300" simplePos="0" relativeHeight="251657216" behindDoc="0" locked="0" layoutInCell="1" hidden="0" allowOverlap="1">
              <wp:simplePos x="0" y="0"/>
              <wp:positionH relativeFrom="column">
                <wp:posOffset>6248400</wp:posOffset>
              </wp:positionH>
              <wp:positionV relativeFrom="paragraph">
                <wp:posOffset>843296</wp:posOffset>
              </wp:positionV>
              <wp:extent cx="1270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5683" y="378000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F497D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843296</wp:posOffset>
              </wp:positionV>
              <wp:extent cx="1270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8C" w:rsidRDefault="00D27F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8C"/>
    <w:rsid w:val="003258EC"/>
    <w:rsid w:val="003F639C"/>
    <w:rsid w:val="0062303E"/>
    <w:rsid w:val="00811B40"/>
    <w:rsid w:val="00D2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CE"/>
    <w:pPr>
      <w:spacing w:line="360" w:lineRule="exact"/>
    </w:pPr>
    <w:rPr>
      <w:szCs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semiHidden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semiHidden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  <w:style w:type="paragraph" w:styleId="BodyText">
    <w:name w:val="Body Text"/>
    <w:basedOn w:val="Normal"/>
    <w:link w:val="BodyTextChar"/>
    <w:rsid w:val="007C164D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link w:val="BodyText"/>
    <w:rsid w:val="007C164D"/>
    <w:rPr>
      <w:rFonts w:ascii="Cordia New" w:eastAsia="Cordia New" w:hAnsi="Cordia New" w:cs="Angsana New"/>
      <w:sz w:val="28"/>
      <w:szCs w:val="35"/>
    </w:rPr>
  </w:style>
  <w:style w:type="character" w:customStyle="1" w:styleId="highlighttextsearch1">
    <w:name w:val="highlighttextsearch1"/>
    <w:rsid w:val="005974A1"/>
    <w:rPr>
      <w:b/>
      <w:bCs/>
      <w:i w:val="0"/>
      <w:iCs w:val="0"/>
      <w:smallCaps w:val="0"/>
      <w:color w:val="FF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CE"/>
    <w:pPr>
      <w:spacing w:line="360" w:lineRule="exact"/>
    </w:pPr>
    <w:rPr>
      <w:szCs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semiHidden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semiHidden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  <w:style w:type="paragraph" w:styleId="BodyText">
    <w:name w:val="Body Text"/>
    <w:basedOn w:val="Normal"/>
    <w:link w:val="BodyTextChar"/>
    <w:rsid w:val="007C164D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link w:val="BodyText"/>
    <w:rsid w:val="007C164D"/>
    <w:rPr>
      <w:rFonts w:ascii="Cordia New" w:eastAsia="Cordia New" w:hAnsi="Cordia New" w:cs="Angsana New"/>
      <w:sz w:val="28"/>
      <w:szCs w:val="35"/>
    </w:rPr>
  </w:style>
  <w:style w:type="character" w:customStyle="1" w:styleId="highlighttextsearch1">
    <w:name w:val="highlighttextsearch1"/>
    <w:rsid w:val="005974A1"/>
    <w:rPr>
      <w:b/>
      <w:bCs/>
      <w:i w:val="0"/>
      <w:iCs w:val="0"/>
      <w:smallCaps w:val="0"/>
      <w:color w:val="FF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NYVEjhiha+Gkkc8XhK00QiiSw==">AMUW2mUSkL+u46aU467aLINJir5bdmrQSbcqAgd3EdbsRetWKnO1YssHzu2FoDkLGrBUii1Pqj8sRQKTcBOZSybxLtboSA2QB/LJAzjlDznBbw/n6qXli7Y=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2021-04-29T04:06:00Z</dcterms:created>
  <dcterms:modified xsi:type="dcterms:W3CDTF">2021-04-29T06:38:00Z</dcterms:modified>
</cp:coreProperties>
</file>