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37A" w14:textId="77777777" w:rsidR="00C81A75" w:rsidRPr="00B670D2" w:rsidRDefault="00C81A75" w:rsidP="00B670D2">
      <w:pPr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A6FFC14" wp14:editId="252651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7200" cy="669290"/>
            <wp:effectExtent l="0" t="0" r="6350" b="0"/>
            <wp:wrapTight wrapText="bothSides">
              <wp:wrapPolygon edited="0">
                <wp:start x="0" y="0"/>
                <wp:lineTo x="0" y="20903"/>
                <wp:lineTo x="21441" y="20903"/>
                <wp:lineTo x="21441" y="0"/>
                <wp:lineTo x="0" y="0"/>
              </wp:wrapPolygon>
            </wp:wrapTight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2D6FA" w14:textId="77777777" w:rsidR="00C81A75" w:rsidRPr="00B670D2" w:rsidRDefault="00C81A75" w:rsidP="00B670D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</w:p>
    <w:p w14:paraId="40CE3818" w14:textId="77777777" w:rsidR="00C81A75" w:rsidRPr="00B670D2" w:rsidRDefault="00C81A75" w:rsidP="00B670D2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B670D2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24AD38D" w14:textId="65EFF47D" w:rsidR="00C81A75" w:rsidRPr="00B670D2" w:rsidRDefault="00C81A75" w:rsidP="00B670D2">
      <w:pPr>
        <w:spacing w:before="240"/>
        <w:ind w:left="-142" w:right="-142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B670D2">
        <w:rPr>
          <w:rFonts w:asciiTheme="minorBidi" w:hAnsiTheme="minorBidi"/>
          <w:b/>
          <w:bCs/>
          <w:sz w:val="30"/>
          <w:szCs w:val="30"/>
          <w:cs/>
        </w:rPr>
        <w:t>“กรุงไทย”</w:t>
      </w:r>
      <w:r w:rsidR="00105C88">
        <w:rPr>
          <w:rFonts w:asciiTheme="minorBidi" w:hAnsiTheme="minorBidi"/>
          <w:b/>
          <w:bCs/>
          <w:sz w:val="30"/>
          <w:szCs w:val="30"/>
        </w:rPr>
        <w:t xml:space="preserve"> </w:t>
      </w:r>
      <w:r w:rsidR="00105C88">
        <w:rPr>
          <w:rFonts w:asciiTheme="minorBidi" w:hAnsiTheme="minorBidi" w:hint="cs"/>
          <w:b/>
          <w:bCs/>
          <w:sz w:val="30"/>
          <w:szCs w:val="30"/>
          <w:cs/>
        </w:rPr>
        <w:t>กำไร</w:t>
      </w:r>
      <w:r w:rsidRPr="00B670D2">
        <w:rPr>
          <w:rFonts w:asciiTheme="minorBidi" w:hAnsiTheme="minorBidi"/>
          <w:b/>
          <w:bCs/>
          <w:sz w:val="30"/>
          <w:szCs w:val="30"/>
          <w:cs/>
        </w:rPr>
        <w:t>สุทธิไตร</w:t>
      </w:r>
      <w:r w:rsidR="00105C88">
        <w:rPr>
          <w:rFonts w:asciiTheme="minorBidi" w:hAnsiTheme="minorBidi" w:hint="cs"/>
          <w:b/>
          <w:bCs/>
          <w:sz w:val="30"/>
          <w:szCs w:val="30"/>
          <w:cs/>
        </w:rPr>
        <w:t>มาสแรก</w:t>
      </w:r>
      <w:r w:rsidR="00105C88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B670D2">
        <w:rPr>
          <w:rFonts w:asciiTheme="minorBidi" w:hAnsiTheme="minorBidi"/>
          <w:b/>
          <w:bCs/>
          <w:sz w:val="30"/>
          <w:szCs w:val="30"/>
        </w:rPr>
        <w:t xml:space="preserve"> 5,578</w:t>
      </w:r>
      <w:r w:rsidRPr="00B670D2">
        <w:rPr>
          <w:rFonts w:asciiTheme="minorBidi" w:hAnsiTheme="minorBidi"/>
          <w:b/>
          <w:bCs/>
          <w:sz w:val="30"/>
          <w:szCs w:val="30"/>
          <w:cs/>
        </w:rPr>
        <w:t xml:space="preserve"> ล้านบาท </w:t>
      </w:r>
      <w:r w:rsidR="004B6ECD" w:rsidRPr="00B670D2">
        <w:rPr>
          <w:rFonts w:asciiTheme="minorBidi" w:hAnsiTheme="minorBidi"/>
          <w:b/>
          <w:bCs/>
          <w:sz w:val="30"/>
          <w:szCs w:val="30"/>
          <w:cs/>
        </w:rPr>
        <w:t xml:space="preserve">เพิ่มขึ้น </w:t>
      </w:r>
      <w:r w:rsidR="004B6ECD" w:rsidRPr="00B670D2">
        <w:rPr>
          <w:rFonts w:asciiTheme="minorBidi" w:hAnsiTheme="minorBidi"/>
          <w:b/>
          <w:bCs/>
          <w:sz w:val="30"/>
          <w:szCs w:val="30"/>
        </w:rPr>
        <w:t xml:space="preserve">61.6% </w:t>
      </w:r>
      <w:r w:rsidR="004B6ECD" w:rsidRPr="00B670D2">
        <w:rPr>
          <w:rFonts w:asciiTheme="minorBidi" w:hAnsiTheme="minorBidi"/>
          <w:b/>
          <w:bCs/>
          <w:sz w:val="30"/>
          <w:szCs w:val="30"/>
          <w:cs/>
        </w:rPr>
        <w:t xml:space="preserve">จากไตรมาสก่อนหน้า </w:t>
      </w:r>
      <w:r w:rsidRPr="00B670D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564B3552" w14:textId="64856368" w:rsidR="00B670D2" w:rsidRPr="00105C88" w:rsidRDefault="00C81A75" w:rsidP="00105C88">
      <w:pPr>
        <w:pStyle w:val="Default"/>
        <w:jc w:val="thaiDistribute"/>
        <w:rPr>
          <w:rFonts w:asciiTheme="minorBidi" w:hAnsiTheme="minorBidi" w:cstheme="minorBidi" w:hint="cs"/>
          <w:color w:val="auto"/>
          <w:sz w:val="30"/>
          <w:szCs w:val="30"/>
        </w:rPr>
      </w:pPr>
      <w:r w:rsidRPr="00B670D2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105C88">
        <w:rPr>
          <w:rFonts w:asciiTheme="minorBidi" w:hAnsiTheme="minorBidi" w:cstheme="minorBidi"/>
          <w:color w:val="auto"/>
          <w:sz w:val="30"/>
          <w:szCs w:val="30"/>
          <w:cs/>
        </w:rPr>
        <w:tab/>
      </w:r>
      <w:r w:rsidRPr="00B670D2">
        <w:rPr>
          <w:rFonts w:asciiTheme="minorBidi" w:hAnsiTheme="minorBidi" w:cstheme="minorBidi"/>
          <w:b/>
          <w:bCs/>
          <w:sz w:val="30"/>
          <w:szCs w:val="30"/>
          <w:cs/>
        </w:rPr>
        <w:t>นายผยง ศรีวณิช</w:t>
      </w:r>
      <w:r w:rsidRPr="00B670D2">
        <w:rPr>
          <w:rFonts w:asciiTheme="minorBidi" w:hAnsiTheme="minorBidi" w:cstheme="minorBidi"/>
          <w:sz w:val="30"/>
          <w:szCs w:val="30"/>
          <w:cs/>
        </w:rPr>
        <w:t xml:space="preserve"> กรรมการผู้จัดการใหญ่ ธนาคารกรุงไทย เปิดเผย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 xml:space="preserve">ว่า 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 xml:space="preserve">ถึงแม้ว่าเศรษฐกิจไทยเผชิญความท้าทายจากการระบาดของ </w:t>
      </w:r>
      <w:r w:rsidR="00B670D2" w:rsidRPr="00B670D2">
        <w:rPr>
          <w:rFonts w:asciiTheme="minorBidi" w:hAnsiTheme="minorBidi" w:cstheme="minorBidi"/>
          <w:sz w:val="30"/>
          <w:szCs w:val="30"/>
        </w:rPr>
        <w:t>COVID-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>19 อย่างต่อเนื่องนับตั้งแต่ปี 2563 จนถึงต้นปี 2564 และสถานการณ์การฟื้นตัวของภาคส่วนต่างๆยังคงไม่เท่าเทียมกัน ธนาคารและบริษัทย่อยยังคงเติบโตเงินให้สินเชื่อจากสิ้นปีที่ผ่านมา นอกจากนี้ธนาคารและบริษัทย่อยใช้หลักความระมัดระวังอย่างต่อเนื่องในการพิจารณาสำรองผลขาดทุนด้านเครดิตที่คาดว่าจะเกิดขึ้น (</w:t>
      </w:r>
      <w:r w:rsidR="00B670D2" w:rsidRPr="00B670D2">
        <w:rPr>
          <w:rFonts w:asciiTheme="minorBidi" w:hAnsiTheme="minorBidi" w:cstheme="minorBidi"/>
          <w:sz w:val="30"/>
          <w:szCs w:val="30"/>
        </w:rPr>
        <w:t xml:space="preserve">Expected credit loss) 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>โดยในปี 2563 ธนาคารและบริษัทย่อยได้มีการตั้งสำรองผลขาดทุนด้านเครดิตที่คาดว่าจะเกิดขึ้นในระดับที่สูงกว่าที่ประเมิน เพื่อรองรับความไม่แน่นอนของสภาวะเศรษฐกิจที่</w:t>
      </w:r>
      <w:r w:rsidR="000D1A2D">
        <w:rPr>
          <w:rFonts w:asciiTheme="minorBidi" w:hAnsiTheme="minorBidi" w:hint="cs"/>
          <w:sz w:val="30"/>
          <w:szCs w:val="30"/>
          <w:cs/>
        </w:rPr>
        <w:t>สะดุดลง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 xml:space="preserve">จากผลกระทบของสถานการณ์การระบาดของ </w:t>
      </w:r>
      <w:r w:rsidR="00B670D2" w:rsidRPr="00B670D2">
        <w:rPr>
          <w:rFonts w:asciiTheme="minorBidi" w:hAnsiTheme="minorBidi" w:cstheme="minorBidi"/>
          <w:sz w:val="30"/>
          <w:szCs w:val="30"/>
        </w:rPr>
        <w:t>COVID-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>19  และในไตรมาส 1/2564 ธนาคารและบริษัทย่อยยังคงรักษาการตั้งสำรองผลขาดทุนด้านเครดิตที่คาดว่าจะเกิดขึ้น ส่งผลให้อัตราส่วนค่าเผื่อผลขาดทุนด้านเครดิตที่คาดว่าจะเกิดขึ้นต่อเงินให้สินเชื่อด้อยคุณภาพ (</w:t>
      </w:r>
      <w:r w:rsidR="00B670D2" w:rsidRPr="00B670D2">
        <w:rPr>
          <w:rFonts w:asciiTheme="minorBidi" w:hAnsiTheme="minorBidi" w:cstheme="minorBidi"/>
          <w:sz w:val="30"/>
          <w:szCs w:val="30"/>
        </w:rPr>
        <w:t xml:space="preserve">Coverage ratio) </w:t>
      </w:r>
      <w:r w:rsidR="00B670D2" w:rsidRPr="00B670D2">
        <w:rPr>
          <w:rFonts w:asciiTheme="minorBidi" w:hAnsiTheme="minorBidi" w:cstheme="minorBidi"/>
          <w:sz w:val="30"/>
          <w:szCs w:val="30"/>
          <w:cs/>
        </w:rPr>
        <w:t>อยู่ในระดับที่สูง</w:t>
      </w:r>
    </w:p>
    <w:p w14:paraId="442A5D68" w14:textId="50EE0539" w:rsidR="00B670D2" w:rsidRPr="00B670D2" w:rsidRDefault="00B670D2" w:rsidP="00B670D2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sz w:val="30"/>
          <w:szCs w:val="30"/>
          <w:cs/>
        </w:rPr>
        <w:t>ธนาคารและบริษัทย่อยมีกำไรจากการดำเนินงาน ประจำไตรมาส 1/2564 เท่ากับ 15,984 ล้านบาท ขยายตัวร้อยละ 9.2 เมื่อเทียบกับไตรมาส 4/2563 จากรายได้รวมจากการดำเนินงานที่ขยายตัวร้อยละ 0.4 โดยมีสาเหตุหลักจากการขยายตัวของรายได้ที่ไม่ใช่ดอกเบี้ย ทั้งในส่วนของรายได้ค่าธรรมเนียมและรายได้จากการดำเนินงานอื่น ในขณะที่รายได้ดอกเบี้ยสุทธิลดลงร้อยละ 1.7 แม้เงินให้สินเชื่อเติบโตดีที่ร้อยละ 1.1 จากสิ้นปีที่ผ่านมา ทั้งนี้เป็นผลจากอัตราผลตอบแทนสุทธิต่อสินทรัพย์ที่ก่อให้เกิดรายได้ (</w:t>
      </w:r>
      <w:r w:rsidRPr="00B670D2">
        <w:rPr>
          <w:rFonts w:asciiTheme="minorBidi" w:hAnsiTheme="minorBidi"/>
          <w:sz w:val="30"/>
          <w:szCs w:val="30"/>
        </w:rPr>
        <w:t xml:space="preserve">NIM) </w:t>
      </w:r>
      <w:r w:rsidRPr="00B670D2">
        <w:rPr>
          <w:rFonts w:asciiTheme="minorBidi" w:hAnsiTheme="minorBidi"/>
          <w:sz w:val="30"/>
          <w:szCs w:val="30"/>
          <w:cs/>
        </w:rPr>
        <w:t xml:space="preserve">ลดลงเป็นร้อยละ 2.50 จากร้อยละ 2.59 ในด้านของค่าใช้จ่ายจากการดำเนินงานอื่นๆลดลงร้อยละ 9.0 จากค่าใช้จ่ายทางการตลาด ส่งผลให้ </w:t>
      </w:r>
      <w:r w:rsidRPr="00B670D2">
        <w:rPr>
          <w:rFonts w:asciiTheme="minorBidi" w:hAnsiTheme="minorBidi"/>
          <w:sz w:val="30"/>
          <w:szCs w:val="30"/>
        </w:rPr>
        <w:t xml:space="preserve">Cost to Income ratio </w:t>
      </w:r>
      <w:r w:rsidRPr="00B670D2">
        <w:rPr>
          <w:rFonts w:asciiTheme="minorBidi" w:hAnsiTheme="minorBidi"/>
          <w:sz w:val="30"/>
          <w:szCs w:val="30"/>
          <w:cs/>
        </w:rPr>
        <w:t xml:space="preserve">เท่ากับร้อยละ 44.25 ลดลงจากไตรมาส 4/2563 ที่ร้อยละ 48.78 </w:t>
      </w:r>
    </w:p>
    <w:p w14:paraId="7F4B42AA" w14:textId="77777777" w:rsidR="00105C88" w:rsidRDefault="00B670D2" w:rsidP="00464C2B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sz w:val="30"/>
          <w:szCs w:val="30"/>
          <w:cs/>
        </w:rPr>
        <w:t>จากผลประกอบการดังกล่าว ส่งผลให้กำไรสุทธิส่วนที่เป็นของธนาคาร เท่ากับ  5,578 ล้านบาท ขยายตัวร้อยละ 61.6 จากไตรมาสที่ผ่านมา โดยธนาคารและบริษัทย่อยตั้งสำรองผลขาดทุนด้านเครดิตที่คาดว่าจะเกิดขึ้นในจำนวน 8,058 ล้านบาท ลดลงร้อยละ 12.9 จากไตรมาส 4/2563  เนื่องจากได้ตั้งสำรองผลขาดทุนด้านเครดิตที่คาดว่าจะเกิดขึ้น (</w:t>
      </w:r>
      <w:r w:rsidRPr="00B670D2">
        <w:rPr>
          <w:rFonts w:asciiTheme="minorBidi" w:hAnsiTheme="minorBidi"/>
          <w:sz w:val="30"/>
          <w:szCs w:val="30"/>
        </w:rPr>
        <w:t xml:space="preserve">Expected credit loss) </w:t>
      </w:r>
      <w:r w:rsidRPr="00B670D2">
        <w:rPr>
          <w:rFonts w:asciiTheme="minorBidi" w:hAnsiTheme="minorBidi"/>
          <w:sz w:val="30"/>
          <w:szCs w:val="30"/>
          <w:cs/>
        </w:rPr>
        <w:t xml:space="preserve">ในระดับที่สูงในไตรมาส 4/2563 ทั้งนี้ธนาคารและบริษัทย่อยยังคงรักษาระดับ </w:t>
      </w:r>
      <w:r w:rsidRPr="00B670D2">
        <w:rPr>
          <w:rFonts w:asciiTheme="minorBidi" w:hAnsiTheme="minorBidi"/>
          <w:sz w:val="30"/>
          <w:szCs w:val="30"/>
        </w:rPr>
        <w:t xml:space="preserve">Coverage Ratio </w:t>
      </w:r>
      <w:r w:rsidRPr="00B670D2">
        <w:rPr>
          <w:rFonts w:asciiTheme="minorBidi" w:hAnsiTheme="minorBidi"/>
          <w:sz w:val="30"/>
          <w:szCs w:val="30"/>
          <w:cs/>
        </w:rPr>
        <w:t>ในระดับที่สูงเท่ากับร้อยละ 153.9 ณ วันที่ 31 มีนาคม 2564 เทียบกับร้อยละ 147.3 ณ วันที่ 31 ธันวาคม 2563 โดยอัตราส่วนสินเชื่อด้อยคุณภาพก่อนหักค่าเผื่อผลขาดทุนด้านเครดิตที่คาดว่าจะเกิดขึ้นต่อสินเชื่อรวม (</w:t>
      </w:r>
      <w:r w:rsidRPr="00B670D2">
        <w:rPr>
          <w:rFonts w:asciiTheme="minorBidi" w:hAnsiTheme="minorBidi"/>
          <w:sz w:val="30"/>
          <w:szCs w:val="30"/>
        </w:rPr>
        <w:t xml:space="preserve">NPLs Ratio-Gross) </w:t>
      </w:r>
      <w:r w:rsidRPr="00B670D2">
        <w:rPr>
          <w:rFonts w:asciiTheme="minorBidi" w:hAnsiTheme="minorBidi"/>
          <w:sz w:val="30"/>
          <w:szCs w:val="30"/>
          <w:cs/>
        </w:rPr>
        <w:t>ร้อยละ 3.66 ลดลงเทียบกับ ณ 31 ธันวาคม 2563 ที่เท่ากับร้อยละ 3.81</w:t>
      </w:r>
    </w:p>
    <w:p w14:paraId="0D21EC46" w14:textId="7653936A" w:rsidR="00B670D2" w:rsidRDefault="00B670D2" w:rsidP="00464C2B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sz w:val="30"/>
          <w:szCs w:val="30"/>
          <w:cs/>
        </w:rPr>
        <w:t>เมื่อเทียบกับไตรมาสที่ 1/2563 ธนาคารและบริษัทย่อยมีกำไรจากการดำเนินงาน ลดลงร้อยละ 8.6 จากไตรมาสเดียวกันของปีก่อน โดยเป็นผลจากรายได้ดอกเบี้ยสุทธิที่ลดลงร้อยละ 13.0 ตามแนวโน้มอัตราดอกเบี้ยที่ปรับลดลงอย่างต่อเนื่องในปีที่ผ่านมา ส่งผลให้อัตราผลตอบแทนสุทธิต่อสินทรัพย์ที่ก่อให้เกิดรายได้ (</w:t>
      </w:r>
      <w:r w:rsidRPr="00B670D2">
        <w:rPr>
          <w:rFonts w:asciiTheme="minorBidi" w:hAnsiTheme="minorBidi"/>
          <w:sz w:val="30"/>
          <w:szCs w:val="30"/>
        </w:rPr>
        <w:t xml:space="preserve">NIM) </w:t>
      </w:r>
      <w:r w:rsidRPr="00B670D2">
        <w:rPr>
          <w:rFonts w:asciiTheme="minorBidi" w:hAnsiTheme="minorBidi"/>
          <w:sz w:val="30"/>
          <w:szCs w:val="30"/>
          <w:cs/>
        </w:rPr>
        <w:t>ลดลงเป็นร้อยละ 2.50 จากร้อยละ 3.14  ในไตรมาส 1/2563 ทั้งนี้ รายได้ที่ไม่ใช่ดอกเบี้ยขยายตัวดีทั้งรายได้ค่าธรรมเนียมสุทธิ ซึ่งขยายตัวจาก</w:t>
      </w:r>
      <w:r w:rsidRPr="00B670D2">
        <w:rPr>
          <w:rFonts w:asciiTheme="minorBidi" w:hAnsiTheme="minorBidi"/>
          <w:sz w:val="30"/>
          <w:szCs w:val="30"/>
          <w:cs/>
        </w:rPr>
        <w:lastRenderedPageBreak/>
        <w:t xml:space="preserve">ค่าธรรมเนียมการจัดการ และค่าธรรมเนียมการรับรอง อาวัลและค้ำประกัน และรายได้จากการดำเนินงานอื่น ประกอบกับค่าใช้จ่ายจากการดำเนินงานที่ลดลงร้อยละ 5.8 โดยมี </w:t>
      </w:r>
      <w:r w:rsidRPr="00B670D2">
        <w:rPr>
          <w:rFonts w:asciiTheme="minorBidi" w:hAnsiTheme="minorBidi"/>
          <w:sz w:val="30"/>
          <w:szCs w:val="30"/>
        </w:rPr>
        <w:t xml:space="preserve">Cost to Income ratio </w:t>
      </w:r>
      <w:r w:rsidRPr="00B670D2">
        <w:rPr>
          <w:rFonts w:asciiTheme="minorBidi" w:hAnsiTheme="minorBidi"/>
          <w:sz w:val="30"/>
          <w:szCs w:val="30"/>
          <w:cs/>
        </w:rPr>
        <w:t>เท่ากับร้อยละ 44.25 เพิ่มขึ้นเล็กน้อยจากร้อยละ 43.49 ในไตรมาส 1/2563</w:t>
      </w:r>
    </w:p>
    <w:p w14:paraId="7D3F347A" w14:textId="3D33F3EF" w:rsidR="00B670D2" w:rsidRPr="00B670D2" w:rsidRDefault="00B670D2" w:rsidP="00B670D2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sz w:val="30"/>
          <w:szCs w:val="30"/>
          <w:cs/>
        </w:rPr>
        <w:t>ธนาคารและบริษัทย่อยตั้งสำรองผลขาดทุนด้านเครดิตที่คาดว่าจะเกิดขึ้นจำนวน 8,058 ล้านบาท ลดลงร้อยละ 5.5 จากไตรมาสเดียวกันของปีก่อน เนื่องจากได้ตั้งสำรองผลขาดทุนด้านเครดิตที่คาดว่าจะเกิดขึ้น (</w:t>
      </w:r>
      <w:r w:rsidRPr="00B670D2">
        <w:rPr>
          <w:rFonts w:asciiTheme="minorBidi" w:hAnsiTheme="minorBidi"/>
          <w:sz w:val="30"/>
          <w:szCs w:val="30"/>
        </w:rPr>
        <w:t xml:space="preserve">Expected credit loss) </w:t>
      </w:r>
      <w:r w:rsidRPr="00B670D2">
        <w:rPr>
          <w:rFonts w:asciiTheme="minorBidi" w:hAnsiTheme="minorBidi"/>
          <w:sz w:val="30"/>
          <w:szCs w:val="30"/>
          <w:cs/>
        </w:rPr>
        <w:t>ในระดับที่สูงในไตรมาส 1/2563 ส่งผลให้กำไรสุทธิส่วนที่เป็นของธนาคาร ลดลงร้อยละ 13.7 จากไตรมาสเดียวกันของปีก่อน</w:t>
      </w:r>
    </w:p>
    <w:p w14:paraId="7CCD29F9" w14:textId="77777777" w:rsidR="00B670D2" w:rsidRPr="00B670D2" w:rsidRDefault="00B670D2" w:rsidP="00B670D2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sz w:val="30"/>
          <w:szCs w:val="30"/>
          <w:cs/>
        </w:rPr>
        <w:t xml:space="preserve">ธนาคาร (งบเฉพาะธนาคาร) มีเงินกองทุนชั้นที่ 1 เท่ากับ 312,059 ล้านบาท (ร้อยละ 15.88 ของสินทรัพย์ถ่วงน้ำหนักตามความเสี่ยง) โดยมีเงินกองทุนทั้งสิ้นเท่ากับ 377,966 ล้านบาท (ร้อยละ 19.23 ของสินทรัพย์ถ่วงน้ำหนักตามความเสี่ยง) โดยธนาคารได้ออกตราสารหนี้ด้อยสิทธิ ที่สามารถนับเป็น เงินกองทุนชั้นที่ 1 ต่อผู้ลงทุนในต่างประเทศ จำนวน 600 ล้านเหรียญสหรัฐ ซึ่งช่วยเพิ่มอัตราส่วนเงินกองทุนชั้นที่ 1 ต่อสินทรัพย์เสี่ยง ให้แข็งแกร่งมากขึ้น อันจะช่วยเพิ่มโอกาสในการลงทุนและรองรับการเติบโตในอนาคต </w:t>
      </w:r>
    </w:p>
    <w:p w14:paraId="65D026D2" w14:textId="77777777" w:rsidR="00B670D2" w:rsidRPr="00B670D2" w:rsidRDefault="00B670D2" w:rsidP="00B670D2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670D2">
        <w:rPr>
          <w:rFonts w:asciiTheme="minorBidi" w:hAnsiTheme="minorBidi"/>
          <w:sz w:val="30"/>
          <w:szCs w:val="30"/>
          <w:cs/>
        </w:rPr>
        <w:t>นอกจากนี้ ธนาคารได้เข้าทำสัญญากับบริษัท บัตรกรุงไทย จำกัด (มหาชน) โดยธนาคาร ตกลงที่จะขายหุ้นของบริษัท กรุงไทยธุรกิจลีสซิ่ง จำกัด คิดเป็นร้อยละ 75.05 การซื้อขายหุ้นดังกล่าวจะอยู่ภายใต้เงื่อนไขบังคับก่อน ทั้งนี้ การเข้าทำรายการดังกล่าวจะช่วยเพิ่มศักยภาพของธนาคารและบริษัทย่อย ในการให้บริการผลิตภัณฑ์เช่าซื้อสำหรับลูกค้ารายย่อยอย่างครบวงจร</w:t>
      </w:r>
    </w:p>
    <w:p w14:paraId="40ED9DF5" w14:textId="77777777" w:rsidR="00C81A75" w:rsidRPr="00B670D2" w:rsidRDefault="00C81A75" w:rsidP="00B670D2">
      <w:pPr>
        <w:spacing w:after="0" w:line="240" w:lineRule="auto"/>
        <w:jc w:val="thaiDistribute"/>
        <w:rPr>
          <w:rFonts w:asciiTheme="minorBidi" w:hAnsiTheme="minorBidi" w:hint="cs"/>
          <w:sz w:val="30"/>
          <w:szCs w:val="30"/>
        </w:rPr>
      </w:pPr>
    </w:p>
    <w:p w14:paraId="76D183F6" w14:textId="77777777" w:rsidR="00C81A75" w:rsidRPr="00B670D2" w:rsidRDefault="00C81A75" w:rsidP="00B670D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B670D2">
        <w:rPr>
          <w:rFonts w:asciiTheme="minorBidi" w:eastAsia="Times New Roman" w:hAnsiTheme="minorBidi"/>
          <w:sz w:val="30"/>
          <w:szCs w:val="30"/>
          <w:cs/>
        </w:rPr>
        <w:t xml:space="preserve">ทีม </w:t>
      </w:r>
      <w:r w:rsidRPr="00B670D2">
        <w:rPr>
          <w:rFonts w:asciiTheme="minorBidi" w:eastAsia="Times New Roman" w:hAnsiTheme="minorBidi"/>
          <w:sz w:val="30"/>
          <w:szCs w:val="30"/>
        </w:rPr>
        <w:t>Marketing Strategy</w:t>
      </w:r>
    </w:p>
    <w:p w14:paraId="5EC06AE7" w14:textId="77777777" w:rsidR="00C81A75" w:rsidRPr="00B670D2" w:rsidRDefault="00C81A75" w:rsidP="00B670D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B670D2">
        <w:rPr>
          <w:rFonts w:asciiTheme="minorBidi" w:eastAsia="Times New Roman" w:hAnsiTheme="minorBidi"/>
          <w:sz w:val="30"/>
          <w:szCs w:val="30"/>
        </w:rPr>
        <w:t>20</w:t>
      </w:r>
      <w:r w:rsidRPr="00B670D2">
        <w:rPr>
          <w:rFonts w:asciiTheme="minorBidi" w:eastAsia="Times New Roman" w:hAnsiTheme="minorBidi"/>
          <w:sz w:val="30"/>
          <w:szCs w:val="30"/>
          <w:cs/>
        </w:rPr>
        <w:t xml:space="preserve"> เมษายน </w:t>
      </w:r>
      <w:r w:rsidRPr="00B670D2">
        <w:rPr>
          <w:rFonts w:asciiTheme="minorBidi" w:eastAsia="Times New Roman" w:hAnsiTheme="minorBidi"/>
          <w:sz w:val="30"/>
          <w:szCs w:val="30"/>
        </w:rPr>
        <w:t xml:space="preserve">2564 </w:t>
      </w:r>
    </w:p>
    <w:p w14:paraId="16D2078C" w14:textId="77777777" w:rsidR="00C81A75" w:rsidRPr="00B670D2" w:rsidRDefault="00C81A75" w:rsidP="00B670D2">
      <w:pPr>
        <w:jc w:val="thaiDistribute"/>
        <w:rPr>
          <w:rFonts w:asciiTheme="minorBidi" w:hAnsiTheme="minorBidi"/>
          <w:sz w:val="30"/>
          <w:szCs w:val="30"/>
          <w:cs/>
        </w:rPr>
      </w:pPr>
    </w:p>
    <w:p w14:paraId="1278415B" w14:textId="77777777" w:rsidR="00C81A75" w:rsidRPr="00B670D2" w:rsidRDefault="00C81A75" w:rsidP="00B670D2">
      <w:pPr>
        <w:jc w:val="thaiDistribute"/>
        <w:rPr>
          <w:rFonts w:asciiTheme="minorBidi" w:hAnsiTheme="minorBidi"/>
          <w:sz w:val="30"/>
          <w:szCs w:val="30"/>
        </w:rPr>
      </w:pPr>
    </w:p>
    <w:p w14:paraId="0894EAC6" w14:textId="77777777" w:rsidR="00303406" w:rsidRPr="00B670D2" w:rsidRDefault="00303406" w:rsidP="00B670D2">
      <w:pPr>
        <w:jc w:val="thaiDistribute"/>
        <w:rPr>
          <w:rFonts w:asciiTheme="minorBidi" w:hAnsiTheme="minorBidi"/>
          <w:sz w:val="30"/>
          <w:szCs w:val="30"/>
        </w:rPr>
      </w:pPr>
    </w:p>
    <w:sectPr w:rsidR="00303406" w:rsidRPr="00B670D2" w:rsidSect="00B670D2">
      <w:pgSz w:w="11906" w:h="16838"/>
      <w:pgMar w:top="1440" w:right="1196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75"/>
    <w:rsid w:val="000D1A2D"/>
    <w:rsid w:val="00105C88"/>
    <w:rsid w:val="00303406"/>
    <w:rsid w:val="003811F6"/>
    <w:rsid w:val="00464C2B"/>
    <w:rsid w:val="004B6ECD"/>
    <w:rsid w:val="008A06BD"/>
    <w:rsid w:val="00B670D2"/>
    <w:rsid w:val="00C6606F"/>
    <w:rsid w:val="00C81A75"/>
    <w:rsid w:val="00F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549F"/>
  <w15:chartTrackingRefBased/>
  <w15:docId w15:val="{ED704747-2AAA-4899-BB01-14B69F98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1A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C81A75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11</cp:revision>
  <cp:lastPrinted>2021-04-20T12:53:00Z</cp:lastPrinted>
  <dcterms:created xsi:type="dcterms:W3CDTF">2021-04-20T09:48:00Z</dcterms:created>
  <dcterms:modified xsi:type="dcterms:W3CDTF">2021-04-20T12:57:00Z</dcterms:modified>
</cp:coreProperties>
</file>