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right"/>
        <w:rPr>
          <w:rFonts w:ascii="Cordia New" w:cs="Cordia New" w:eastAsia="Cordia New" w:hAnsi="Cordia New"/>
          <w:b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u w:val="single"/>
          <w:rtl w:val="0"/>
        </w:rPr>
        <w:t xml:space="preserve">ข่าวประชาสัมพันธ์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-69849</wp:posOffset>
            </wp:positionH>
            <wp:positionV relativeFrom="paragraph">
              <wp:posOffset>0</wp:posOffset>
            </wp:positionV>
            <wp:extent cx="1621790" cy="622300"/>
            <wp:effectExtent b="0" l="0" r="0" t="0"/>
            <wp:wrapTopAndBottom distB="0" distT="0"/>
            <wp:docPr descr="Text, email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Text, email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62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กรุงไทยยกระดับประสิทธิภาพการให้บริการ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พัฒนาระบบอิเล็กทรอนิกส์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firstLine="720"/>
        <w:jc w:val="both"/>
        <w:rPr>
          <w:rFonts w:ascii="Cordia New" w:cs="Cordia New" w:eastAsia="Cordia New" w:hAnsi="Cordia New"/>
          <w:color w:val="000000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ธนาคารกรุงไทย ยกระดับประสิทธิภาพการให้บริการ  พัฒนาและปรับปรุงระบบอิเล็กทรอนิกส์  ส่งผลให้ลูกค้าไม่สามารถใช้บริการได้ในวันเสาร์ที่ 13 กุมภาพันธ์ 2564 ระหว่างเวลา 00.15 – 07.45 น.  โดยมีรายละเอียดดังนี้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993" w:right="0" w:hanging="283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แอปพลิเคชัน  Krungthai NEXT  เป๋าตัง เป๋าตุง  และถุงเงิน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บริการแจ้งเตือนอัตโนมัติผ่านโทรศัพท์มือถือ  และ Krungthai Connext บริการแจ้งเตือนเงินเข้า-ออกบัญชีกรุงไทย และ G-wallet บนแอปพลิเคชันเป๋าตัง ผ่านไลน์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บริการเว็บไซต์และแพลตฟอร์มต่างๆ   Krungthai Internet Banking   Krungthai Corporate Online   Krungthai Contact Center  Krungthai PromptPay  Krungthai CO-OP  Krungthai </w:t>
        <w:br w:type="textWrapping"/>
        <w:t xml:space="preserve">e-Cheque   Krungthai Biz Payment  กรุงไทย เติมบุญ  บริการรับชำระเงินออนไลน์  บริการจองซื้อหลักทรัพย์ออนไลน์ บริการ CGP – Corporate Group Payment Oil  บริการชำระเงินผ่าน Alipay และ Wechat และบริการหลักทรัพย์จัดการกองทุนกรุงไทย (Selling Agent)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993" w:right="0" w:hanging="283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บริการบัตร  Krungthai Verified by Visa   Krungthai IPAC   Krungthai Debit Card   Krungthai Cash Card  Krungthai Travel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รวมทั้ง  Krungthai ATM / ADM  Krungthai Tele-Banking  บริการรับชำระค่าสินค้าและบริการ เครื่องรูดบัตรอิเล็กทรอนิกส์  บริการตรวจสอบยอดเงินในบัตรองค์การขนส่งมวลชนกรุงเทพ (ขสมก.) บูธแลกเปลี่ยนเงินตราต่างประเทศ ธนาคารขออภัยในความไม่สะดวก สอบถามข้อมูลเพิ่มเติมได้ที่ Krungthai Contact Center  หมายเลข 02 111 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ind w:firstLine="72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ทีม Marketing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11 กุมภาพันธ์ 2564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dia New"/>
  <w:font w:name="Tahom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