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ธปท.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ชี้แจงสภาฯ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เพื่อสร้างความเข้าใจที่ชัดเจนเกี่ยวกับ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 xml:space="preserve">พ.ร.ก. ซอฟต์โลน และ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BSF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="Segoe UI"/>
          <w:sz w:val="18"/>
          <w:szCs w:val="18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="Segoe UI"/>
          <w:sz w:val="18"/>
          <w:szCs w:val="18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theme="minorBid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(31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พ.ค.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63)</w:t>
      </w:r>
      <w:r>
        <w:rPr>
          <w:rStyle w:val="normaltextrun"/>
          <w:rFonts w:ascii="TH SarabunPSK" w:hAnsi="TH SarabunPSK" w:cs="TH SarabunPSK"/>
          <w:sz w:val="32"/>
          <w:szCs w:val="32"/>
        </w:rPr>
        <w:t> 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นายเมธี สุภาพงศ์ รองผู้ว่าการ ด้านเสถียรภาพการเงิน ธนาคารแห่งประเทศไทย (ธปท.)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ชี้แจงต่อที่ประชุมสภาผู้แทนราษฎรเพิ่มเติมเกี่ยวกับการดำเนินมาตรการตาม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รักษาเสถียรภาพของระบบการเงินและความมั่นคงทางเศรษฐกิจของประเทศ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พ.ศ.</w:t>
      </w:r>
      <w:r>
        <w:rPr>
          <w:rStyle w:val="normaltextrun"/>
          <w:rFonts w:ascii="TH SarabunPSK" w:hAnsi="TH SarabunPSK" w:cs="TH SarabunPSK"/>
          <w:sz w:val="32"/>
          <w:szCs w:val="32"/>
        </w:rPr>
        <w:t>2563 (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พ.ร.ก</w:t>
      </w:r>
      <w:r>
        <w:rPr>
          <w:rStyle w:val="normaltextrun"/>
          <w:rFonts w:ascii="TH SarabunPSK" w:hAnsi="TH SarabunPSK" w:cs="TH SarabunPSK"/>
          <w:sz w:val="32"/>
          <w:szCs w:val="32"/>
        </w:rPr>
        <w:t>. BSF)</w:t>
      </w:r>
      <w:r>
        <w:rPr>
          <w:rStyle w:val="normaltextrun"/>
          <w:rFonts w:ascii="TH SarabunPSK" w:hAnsi="TH SarabunPSK" w:cs="TH SarabunPSK"/>
          <w:sz w:val="32"/>
          <w:szCs w:val="32"/>
        </w:rPr>
        <w:br/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และ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พ.ร.ก</w:t>
      </w:r>
      <w:r>
        <w:rPr>
          <w:rStyle w:val="normaltextrun"/>
          <w:rFonts w:ascii="TH SarabunPSK" w:hAnsi="TH SarabunPSK" w:cs="TH SarabunPSK"/>
          <w:sz w:val="32"/>
          <w:szCs w:val="32"/>
        </w:rPr>
        <w:t xml:space="preserve">. 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ให้ความช่วยเหลือทางการเงินแก่ผู้ประกอบวิสาหกิจที่ได้รับผลกระทบจากการระบาด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br/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ของโรคติดเชื้อไวรัสโคโรนา</w:t>
      </w:r>
      <w:r>
        <w:rPr>
          <w:rStyle w:val="normaltextrun"/>
          <w:rFonts w:ascii="TH SarabunPSK" w:hAnsi="TH SarabunPSK" w:cs="TH SarabunPSK"/>
          <w:sz w:val="32"/>
          <w:szCs w:val="32"/>
        </w:rPr>
        <w:t> 2019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พ.ศ</w:t>
      </w:r>
      <w:r>
        <w:rPr>
          <w:rStyle w:val="normaltextrun"/>
          <w:rFonts w:ascii="TH SarabunPSK" w:hAnsi="TH SarabunPSK" w:cs="TH SarabunPSK"/>
          <w:sz w:val="32"/>
          <w:szCs w:val="32"/>
        </w:rPr>
        <w:t>.2563 (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พ.ร.ก.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ซอฟต์โลน</w:t>
      </w:r>
      <w:r>
        <w:rPr>
          <w:rStyle w:val="normaltextrun"/>
          <w:rFonts w:ascii="TH SarabunPSK" w:hAnsi="TH SarabunPSK" w:cs="TH SarabunPSK"/>
          <w:sz w:val="32"/>
          <w:szCs w:val="32"/>
        </w:rPr>
        <w:t>)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สรุปสาระสำคัญได้ดังนี้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theme="minorBidi"/>
          <w:sz w:val="18"/>
          <w:szCs w:val="18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Segoe UI" w:hAnsi="Segoe UI" w:cstheme="minorBidi"/>
          <w:sz w:val="18"/>
          <w:szCs w:val="18"/>
        </w:rPr>
      </w:pPr>
      <w:r>
        <w:rPr>
          <w:rFonts w:ascii="Segoe UI" w:hAnsi="Segoe UI" w:cstheme="minorBidi"/>
          <w:sz w:val="18"/>
          <w:szCs w:val="18"/>
        </w:rPr>
        <w:t xml:space="preserve">1.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 xml:space="preserve">พ.ร.ก.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BSF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ไม่ได้เป็นการกู้เงิน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แต่เป็นการให้อำนาจ ธปท.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จัดการสภาพคล่องของการระดมทุนในตลาดตราสารหนี้ภาคเอกชน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. BSF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เพื่อการรักษาเสถียรภาพของระบบการเงิน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รักษามูลค่าการออมของคนไทย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เป็นการให้ความเชื่อมั่นกับผู้ถือครองตราสารหนี้ภาคเอกชนที่เป็นประชาชนถึงร้อยละ</w:t>
      </w:r>
      <w:r>
        <w:rPr>
          <w:rStyle w:val="normaltextrun"/>
          <w:rFonts w:ascii="TH SarabunPSK" w:hAnsi="TH SarabunPSK" w:cs="TH SarabunPSK"/>
          <w:sz w:val="32"/>
          <w:szCs w:val="32"/>
        </w:rPr>
        <w:t> 83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ของมูลค่าตราสารหนี้ทั้งหมด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TH SarabunPSK" w:hAnsi="TH SarabunPSK" w:cs="TH SarabunPSK"/>
          <w:sz w:val="22"/>
          <w:szCs w:val="22"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 xml:space="preserve">อัตราดอกเบี้ยของ พ.ร.ก.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 xml:space="preserve">BSF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และ พ.ร.ก. ซอฟท์โลน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สะท้อนวัตถุประสงค์ที่แตกต่างกัน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การนำ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ซอฟต์โลนมาเปรียบเทียบกับ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sz w:val="32"/>
          <w:szCs w:val="32"/>
        </w:rPr>
        <w:t>. BSF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อาจทำให้เกิดความเข้าใจผิดโดยสิ้นเชิง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>
        <w:rPr>
          <w:rStyle w:val="normaltextrun"/>
          <w:rFonts w:ascii="TH SarabunPSK" w:hAnsi="TH SarabunPSK" w:cs="TH SarabunPSK"/>
          <w:sz w:val="32"/>
          <w:szCs w:val="32"/>
          <w:cs/>
        </w:rPr>
        <w:t>ทั้ง 2 พ.ร.ก. มีวัตถุประสงค์ที่แตกต่างกัน</w:t>
      </w:r>
      <w:r>
        <w:rPr>
          <w:rStyle w:val="normaltextrun"/>
          <w:rFonts w:ascii="TH SarabunPSK" w:hAnsi="TH SarabunPSK" w:cs="TH SarabunPSK"/>
          <w:sz w:val="32"/>
          <w:szCs w:val="32"/>
        </w:rPr>
        <w:t xml:space="preserve">  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โดย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sz w:val="32"/>
          <w:szCs w:val="32"/>
        </w:rPr>
        <w:t>.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ซอฟต์โลนเป็นการให้เงินกู้เพิ่มเติมจากเงินกู้เดิมที่ได้จากสถาบันการเงินอยู่แล้ว โดยเงินกู้ก้อนใหม่นี้</w:t>
      </w:r>
      <w:r>
        <w:rPr>
          <w:rStyle w:val="normaltextrun"/>
          <w:rFonts w:ascii="TH SarabunPSK" w:hAnsi="TH SarabunPSK" w:cs="TH SarabunPSK"/>
          <w:sz w:val="32"/>
          <w:szCs w:val="32"/>
        </w:rPr>
        <w:t> SMEs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จะได้รับในอั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ตราดอกเบี้ยต่ำ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ขณะที่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sz w:val="32"/>
          <w:szCs w:val="32"/>
        </w:rPr>
        <w:t>. BSF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br/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ไม่ได้เป็นการให้เงินกู้เพิ่ม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แต่เป็นการให้กู้ยืมเพื่อชำระตราสารหนี้เดิมที่ครบกำหนด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ด้วยอัตราดอกเบี้ยที่แพงที่สุด โดยบริษัทต้องไประดมทุนจากแหล่งอื่นๆ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ก่อนที่จะมาขอความช่วยเหลือจากกองทุน</w:t>
      </w:r>
      <w:r>
        <w:rPr>
          <w:rStyle w:val="normaltextrun"/>
          <w:rFonts w:ascii="TH SarabunPSK" w:hAnsi="TH SarabunPSK" w:cs="TH SarabunPSK"/>
          <w:sz w:val="32"/>
          <w:szCs w:val="32"/>
        </w:rPr>
        <w:t> BSF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และเป็นการให้สภาพคล่องชั่วคราว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เพื่อลดแรงจูงใจในการมาขอสภาพคล่องจากกองทุน </w:t>
      </w:r>
      <w:r>
        <w:rPr>
          <w:rStyle w:val="normaltextrun"/>
          <w:rFonts w:ascii="TH SarabunPSK" w:hAnsi="TH SarabunPSK" w:cs="TH SarabunPSK"/>
          <w:sz w:val="32"/>
          <w:szCs w:val="32"/>
        </w:rPr>
        <w:t>BSF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เป็นอันดับแรก เพราะมีเงื่อนไขว่าบริษัทต้องหาแหล่งเงินทุนภายนอกจากทั้งสถาบันการเงิน และตลาดหุ้นกู้มารวมกันไม่ต่ำกว่าร้อยละ</w:t>
      </w:r>
      <w:r>
        <w:rPr>
          <w:rStyle w:val="normaltextrun"/>
          <w:rFonts w:ascii="TH SarabunPSK" w:hAnsi="TH SarabunPSK" w:cs="TH SarabunPSK"/>
          <w:sz w:val="32"/>
          <w:szCs w:val="32"/>
        </w:rPr>
        <w:t> 50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ที่ผ่านมามีหลายบริษัทที่ต้องระดมทุนเพื่อใช้คืนหุ้นกู้ครบกำหนด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แต่ก็ไม่ได้มาใช้กองทุนนี้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สะท้อนว่า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พ.ร.ก.</w:t>
      </w:r>
      <w:r>
        <w:rPr>
          <w:rStyle w:val="normaltextrun"/>
          <w:rFonts w:ascii="TH SarabunPSK" w:hAnsi="TH SarabunPSK" w:cs="TH SarabunPSK"/>
          <w:sz w:val="32"/>
          <w:szCs w:val="32"/>
        </w:rPr>
        <w:t> BSF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เป็นเพียงหลังพิงให้กับผู้ถือตราสารหนี้ภาคเอกชนเท่านั้น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TH SarabunPSK" w:hAnsi="TH SarabunPSK" w:cs="TH SarabunPSK"/>
          <w:sz w:val="22"/>
          <w:szCs w:val="22"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การดำเนินการของกองทุน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BSF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เป็นไปตามหลักธรรมาภิบาลที่ดี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มีคณะกรรมการที่ทำหน้าที่แยกจากกันอย่างชัดเจน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ระหว่างคณะกรรมการกำกับกองทุนฯ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และคณะกรรมการลงทุน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รวมถึงยังมีผู้ทรงคุณวุฒิที่เป็นผู้เชี่ยวชาญจากภาครัฐและเอกชนในการให้ความเห็น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โดยกองทุนจะเปิดเผยผลการดำเนินงานทั้งรายชื่อบริษัทที่ได้รับความช่วยเหลือและมูลค่าสินทรัพย์รวมของกองทุนแก่สาธารณชนเป็นประจำ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เพื่อให้เกิดความโปร่งใส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สำหรับการผ่อนผันเงื่อนไขที่กำหนดไว้ หากมีความจำเป็นก็จะดำเนินการเป็นการทั่วไปให้กับทุกบริษัท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ไม่ได้ให้กับบริษัทใดบริษัทหนึ่ง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นอกจากนี้ การมีผู้แทนจากกองทุนบำเหน็จบำนาญข้าราชการ (กบข</w:t>
      </w:r>
      <w:r>
        <w:rPr>
          <w:rStyle w:val="normaltextrun"/>
          <w:rFonts w:ascii="TH SarabunPSK" w:hAnsi="TH SarabunPSK" w:cs="TH SarabunPSK"/>
          <w:sz w:val="32"/>
          <w:szCs w:val="32"/>
        </w:rPr>
        <w:t>.)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เป็นหนึ่งในคณะกรรมการลงทุนเพื่อช่วยในการพิจารณา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เพราะเป็นผู้ที่มีความเชี่ยวชาญในตลาดตราสารหนี้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โดยหากมีประเด็นที่อาจก่อให้เกิดความขัดแย้งทางผลประโยชน์ระหว่างการลงทุนของกองทุน </w:t>
      </w:r>
      <w:r>
        <w:rPr>
          <w:rStyle w:val="normaltextrun"/>
          <w:rFonts w:ascii="TH SarabunPSK" w:hAnsi="TH SarabunPSK" w:cs="TH SarabunPSK"/>
          <w:sz w:val="32"/>
          <w:szCs w:val="32"/>
        </w:rPr>
        <w:t xml:space="preserve">BSF 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กับการลงทุนของ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กบข.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กรรมการท่านนั้นจะไม่สามารถอยู่ร่วมพิจารณาในการประชุมวาระนั้นได้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การให้สินเชื่อซอฟต์โลน เป็นหนึ่งในมาตรการช่วยเหลือ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SMEs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และยังมีวงเงินพร้อมให้ความช่วยเหลือ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พ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ร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ก</w:t>
      </w:r>
      <w:r>
        <w:rPr>
          <w:rStyle w:val="normaltextrun"/>
          <w:rFonts w:ascii="TH SarabunPSK" w:hAnsi="TH SarabunPSK" w:cs="TH SarabunPSK"/>
          <w:sz w:val="32"/>
          <w:szCs w:val="32"/>
        </w:rPr>
        <w:t>.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ซอฟต์โลน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ปล่อยสินเชื่อไปแล้วร้อยละ</w:t>
      </w:r>
      <w:r>
        <w:rPr>
          <w:rStyle w:val="normaltextrun"/>
          <w:rFonts w:ascii="TH SarabunPSK" w:hAnsi="TH SarabunPSK" w:cs="TH SarabunPSK"/>
          <w:sz w:val="32"/>
          <w:szCs w:val="32"/>
        </w:rPr>
        <w:t> 10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ยังมีวงเงินเหลืออีกมาก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และเป็นเพียงหนึ่ง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br/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ในมาตรการด้านการเงินช่วยเหลือ</w:t>
      </w:r>
      <w:r>
        <w:rPr>
          <w:rStyle w:val="normaltextrun"/>
          <w:rFonts w:ascii="TH SarabunPSK" w:hAnsi="TH SarabunPSK" w:cs="TH SarabunPSK"/>
          <w:sz w:val="32"/>
          <w:szCs w:val="32"/>
        </w:rPr>
        <w:t> SMEs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จากหลากหลายมาตรการ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</w:p>
    <w:p w:rsidR="00CE34D9" w:rsidRDefault="00CE34D9" w:rsidP="00CE34D9">
      <w:pPr>
        <w:pStyle w:val="paragraph"/>
        <w:spacing w:before="0" w:beforeAutospacing="0" w:after="0" w:afterAutospacing="0"/>
        <w:ind w:left="-36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ความตื่นตระหนกของประชาชนต่อสถานการณ์การแพร่ระบาดในเดือนมีนาคม 2563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ทำให้เกิดการเทขายสินทรัพย์ทางการเงินต่างๆ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รวมถึงกองทุนรวมตราสารหนี้ออกมาเป็นจำนวนมาก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เพื่อไปถือเงินสด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เงินฝากในระบบสถาบันการเงินจึงปรับเพิ่มขึ้นมาก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สะท้อนความรุนแรงของสถานการณ์ในช่วงนั้น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ส่งผลให้ต้องมีการออกมาตรการสำคัญทั้งมาตรการช่วยเหลือกองทุนรวมฯ (</w:t>
      </w:r>
      <w:r>
        <w:rPr>
          <w:rStyle w:val="normaltextrun"/>
          <w:rFonts w:ascii="TH SarabunPSK" w:hAnsi="TH SarabunPSK" w:cs="TH SarabunPSK"/>
          <w:sz w:val="32"/>
          <w:szCs w:val="32"/>
        </w:rPr>
        <w:t>Mutual Fund Liquidity</w:t>
      </w:r>
      <w:r>
        <w:rPr>
          <w:rStyle w:val="normaltextrun"/>
          <w:rFonts w:ascii="TH SarabunPSK" w:hAnsi="TH SarabunPSK" w:cs="TH SarabunPSK"/>
          <w:sz w:val="32"/>
          <w:szCs w:val="32"/>
        </w:rPr>
        <w:br/>
      </w:r>
      <w:r>
        <w:rPr>
          <w:rStyle w:val="normaltextrun"/>
          <w:rFonts w:ascii="TH SarabunPSK" w:hAnsi="TH SarabunPSK" w:cs="TH SarabunPSK"/>
          <w:sz w:val="32"/>
          <w:szCs w:val="32"/>
        </w:rPr>
        <w:t>Facility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Style w:val="normaltextrun"/>
          <w:rFonts w:ascii="TH SarabunPSK" w:hAnsi="TH SarabunPSK" w:cs="TH SarabunPSK"/>
          <w:sz w:val="32"/>
          <w:szCs w:val="32"/>
        </w:rPr>
        <w:t>MFLF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)</w:t>
      </w:r>
      <w:r>
        <w:rPr>
          <w:rStyle w:val="normaltextrun"/>
          <w:rFonts w:ascii="TH SarabunPSK" w:hAnsi="TH SarabunPSK" w:cs="TH SarabunPSK"/>
          <w:sz w:val="32"/>
          <w:szCs w:val="32"/>
        </w:rPr>
        <w:t>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และการจัดตั้งกองทุน </w:t>
      </w:r>
      <w:r>
        <w:rPr>
          <w:rStyle w:val="normaltextrun"/>
          <w:rFonts w:ascii="TH SarabunPSK" w:hAnsi="TH SarabunPSK" w:cs="TH SarabunPSK"/>
          <w:sz w:val="32"/>
          <w:szCs w:val="32"/>
        </w:rPr>
        <w:t>BSF 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>เพื่อสร้างความเชื่อมั่นแก่ประชาชนและนักลงทุนทั่วไป ทำให้กลไกตลาดการเงินกลับมาทำงานได้ตามปกติ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:rsidR="00B30D72" w:rsidRPr="00CE34D9" w:rsidRDefault="00B30D72">
      <w:pPr>
        <w:rPr>
          <w:rFonts w:hint="cs"/>
        </w:rPr>
      </w:pPr>
    </w:p>
    <w:sectPr w:rsidR="00B30D72" w:rsidRPr="00CE34D9" w:rsidSect="00232D2A">
      <w:pgSz w:w="11906" w:h="16838"/>
      <w:pgMar w:top="1440" w:right="1440" w:bottom="1440" w:left="216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D9" w:rsidRDefault="00CE34D9" w:rsidP="00CE34D9">
      <w:pPr>
        <w:spacing w:after="0" w:line="240" w:lineRule="auto"/>
      </w:pPr>
      <w:r>
        <w:separator/>
      </w:r>
    </w:p>
  </w:endnote>
  <w:endnote w:type="continuationSeparator" w:id="0">
    <w:p w:rsidR="00CE34D9" w:rsidRDefault="00CE34D9" w:rsidP="00C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D9" w:rsidRDefault="00CE34D9" w:rsidP="00CE34D9">
      <w:pPr>
        <w:spacing w:after="0" w:line="240" w:lineRule="auto"/>
      </w:pPr>
      <w:r>
        <w:separator/>
      </w:r>
    </w:p>
  </w:footnote>
  <w:footnote w:type="continuationSeparator" w:id="0">
    <w:p w:rsidR="00CE34D9" w:rsidRDefault="00CE34D9" w:rsidP="00C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FDE"/>
    <w:multiLevelType w:val="multilevel"/>
    <w:tmpl w:val="B52A8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20E18"/>
    <w:multiLevelType w:val="multilevel"/>
    <w:tmpl w:val="B18CB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F292A"/>
    <w:multiLevelType w:val="multilevel"/>
    <w:tmpl w:val="CB10A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E4B69"/>
    <w:multiLevelType w:val="multilevel"/>
    <w:tmpl w:val="A21470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E7241"/>
    <w:multiLevelType w:val="multilevel"/>
    <w:tmpl w:val="F55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7548F"/>
    <w:multiLevelType w:val="multilevel"/>
    <w:tmpl w:val="665EA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D9"/>
    <w:rsid w:val="00232D2A"/>
    <w:rsid w:val="00B30D72"/>
    <w:rsid w:val="00C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19DCD-3AAF-4F18-BD2B-BD23C51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2A"/>
    <w:pPr>
      <w:ind w:left="720"/>
      <w:contextualSpacing/>
    </w:pPr>
  </w:style>
  <w:style w:type="paragraph" w:customStyle="1" w:styleId="paragraph">
    <w:name w:val="paragraph"/>
    <w:basedOn w:val="Normal"/>
    <w:rsid w:val="00CE34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textrun">
    <w:name w:val="normaltextrun"/>
    <w:basedOn w:val="DefaultParagraphFont"/>
    <w:rsid w:val="00CE34D9"/>
  </w:style>
  <w:style w:type="character" w:customStyle="1" w:styleId="eop">
    <w:name w:val="eop"/>
    <w:basedOn w:val="DefaultParagraphFont"/>
    <w:rsid w:val="00CE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วีระพล เทียนงามสัจ</dc:creator>
  <cp:keywords/>
  <dc:description/>
  <cp:lastModifiedBy>วีระพล เทียนงามสัจ</cp:lastModifiedBy>
  <cp:revision>1</cp:revision>
  <dcterms:created xsi:type="dcterms:W3CDTF">2020-05-31T08:33:00Z</dcterms:created>
  <dcterms:modified xsi:type="dcterms:W3CDTF">2020-05-31T08:37:00Z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2020-05-31T08:37:10Z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405b04fc-c23a-4890-a616-239f2566fd0c</vt:lpwstr>
  </property>
  <property fmtid="{D5CDD505-2E9C-101B-9397-08002B2CF9AE}" pid="8" name="MSIP_Label_57ef099a-7fa4-4e34-953d-f6f34188ebfd_ContentBits">
    <vt:lpwstr>0</vt:lpwstr>
  </property>
</Properties>
</file>