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A" w:rsidRPr="00093887" w:rsidRDefault="00A60584" w:rsidP="00AA0581">
      <w:pPr>
        <w:tabs>
          <w:tab w:val="left" w:pos="7088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93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AD7A5E">
        <w:rPr>
          <w:rFonts w:ascii="TH SarabunPSK" w:hAnsi="TH SarabunPSK" w:cs="TH SarabunPSK"/>
          <w:b/>
          <w:bCs/>
          <w:sz w:val="32"/>
          <w:szCs w:val="32"/>
        </w:rPr>
        <w:t>31/2562</w:t>
      </w:r>
      <w:r w:rsidR="003F6CA9" w:rsidRPr="000938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2972C5" w:rsidRPr="000938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</w:t>
      </w:r>
      <w:r w:rsidR="008A6773" w:rsidRPr="000938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12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2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D7A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0" w:name="_GoBack"/>
      <w:bookmarkEnd w:id="0"/>
      <w:r w:rsidR="00D612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6773" w:rsidRPr="0009388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A6773" w:rsidRPr="0009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7A5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612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3F0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2972C5" w:rsidRPr="0009388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</w:p>
    <w:p w:rsidR="00D82D7D" w:rsidRPr="00093887" w:rsidRDefault="00422568" w:rsidP="003A28F5">
      <w:pPr>
        <w:tabs>
          <w:tab w:val="left" w:pos="670"/>
          <w:tab w:val="center" w:pos="4819"/>
        </w:tabs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highlight w:val="white"/>
        </w:rPr>
      </w:pPr>
      <w:r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“</w:t>
      </w:r>
      <w:r w:rsidR="001D14F1"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สคร</w:t>
      </w:r>
      <w:r w:rsidR="001D14F1" w:rsidRPr="00093887">
        <w:rPr>
          <w:rFonts w:ascii="TH SarabunPSK" w:hAnsi="TH SarabunPSK" w:cs="TH SarabunPSK"/>
          <w:b/>
          <w:bCs/>
          <w:sz w:val="36"/>
          <w:szCs w:val="36"/>
          <w:highlight w:val="white"/>
        </w:rPr>
        <w:t>.</w:t>
      </w:r>
      <w:r w:rsidR="003F6CA9"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 xml:space="preserve"> </w:t>
      </w:r>
      <w:r w:rsidR="00A5193C"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นำส่ง</w:t>
      </w:r>
      <w:r w:rsidR="0059345E"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รายได้</w:t>
      </w:r>
      <w:r w:rsidR="00C26B59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รัฐวิสาหกิจ</w:t>
      </w:r>
      <w:r w:rsidR="00A5193C" w:rsidRPr="00093887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 xml:space="preserve"> ปีงบประมาณ 2562</w:t>
      </w:r>
      <w:r w:rsidR="000E4B82">
        <w:rPr>
          <w:rFonts w:ascii="TH SarabunPSK" w:hAnsi="TH SarabunPSK" w:cs="TH SarabunPSK"/>
          <w:b/>
          <w:bCs/>
          <w:sz w:val="36"/>
          <w:szCs w:val="36"/>
          <w:highlight w:val="white"/>
        </w:rPr>
        <w:t xml:space="preserve"> </w:t>
      </w:r>
      <w:r w:rsidR="000E4B82"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  <w:t>ได้ตามเป้าหมาย</w:t>
      </w:r>
      <w:r w:rsidR="00093887" w:rsidRPr="00093887">
        <w:rPr>
          <w:rFonts w:ascii="TH SarabunPSK" w:hAnsi="TH SarabunPSK" w:cs="TH SarabunPSK"/>
          <w:b/>
          <w:bCs/>
          <w:sz w:val="36"/>
          <w:szCs w:val="36"/>
          <w:highlight w:val="white"/>
        </w:rPr>
        <w:t>”</w:t>
      </w:r>
    </w:p>
    <w:p w:rsidR="002D3487" w:rsidRPr="00D12E11" w:rsidRDefault="00213EF1" w:rsidP="00FD47CF">
      <w:pPr>
        <w:pStyle w:val="Default"/>
        <w:spacing w:before="120" w:after="120"/>
        <w:ind w:firstLine="720"/>
        <w:jc w:val="thaiDistribute"/>
        <w:rPr>
          <w:sz w:val="30"/>
          <w:szCs w:val="30"/>
          <w:highlight w:val="white"/>
          <w:cs/>
        </w:rPr>
      </w:pPr>
      <w:r w:rsidRPr="008A6DE0">
        <w:rPr>
          <w:b/>
          <w:bCs/>
          <w:sz w:val="30"/>
          <w:szCs w:val="30"/>
          <w:highlight w:val="white"/>
          <w:cs/>
        </w:rPr>
        <w:t>นายประภาศ คงเอียด ผู้อำนวยการ</w:t>
      </w:r>
      <w:r w:rsidR="00A5050F" w:rsidRPr="008A6DE0">
        <w:rPr>
          <w:b/>
          <w:bCs/>
          <w:sz w:val="30"/>
          <w:szCs w:val="30"/>
          <w:highlight w:val="white"/>
          <w:cs/>
        </w:rPr>
        <w:t>สำนั</w:t>
      </w:r>
      <w:r w:rsidR="00A712ED" w:rsidRPr="008A6DE0">
        <w:rPr>
          <w:b/>
          <w:bCs/>
          <w:sz w:val="30"/>
          <w:szCs w:val="30"/>
          <w:highlight w:val="white"/>
          <w:cs/>
        </w:rPr>
        <w:t>กงานคณะกรรมการนโยบายรัฐวิสาหกิจ</w:t>
      </w:r>
      <w:r w:rsidR="002D3487" w:rsidRPr="008A6DE0">
        <w:rPr>
          <w:b/>
          <w:bCs/>
          <w:sz w:val="30"/>
          <w:szCs w:val="30"/>
          <w:highlight w:val="white"/>
          <w:cs/>
        </w:rPr>
        <w:t xml:space="preserve"> </w:t>
      </w:r>
      <w:r w:rsidR="00A5050F" w:rsidRPr="008A6DE0">
        <w:rPr>
          <w:b/>
          <w:bCs/>
          <w:sz w:val="30"/>
          <w:szCs w:val="30"/>
          <w:highlight w:val="white"/>
        </w:rPr>
        <w:t>(</w:t>
      </w:r>
      <w:r w:rsidR="00A5050F" w:rsidRPr="008A6DE0">
        <w:rPr>
          <w:b/>
          <w:bCs/>
          <w:sz w:val="30"/>
          <w:szCs w:val="30"/>
          <w:highlight w:val="white"/>
          <w:cs/>
        </w:rPr>
        <w:t>สคร</w:t>
      </w:r>
      <w:r w:rsidR="00A712ED" w:rsidRPr="008A6DE0">
        <w:rPr>
          <w:b/>
          <w:bCs/>
          <w:sz w:val="30"/>
          <w:szCs w:val="30"/>
          <w:highlight w:val="white"/>
        </w:rPr>
        <w:t>.)</w:t>
      </w:r>
      <w:r w:rsidRPr="008A6DE0">
        <w:rPr>
          <w:b/>
          <w:bCs/>
          <w:sz w:val="30"/>
          <w:szCs w:val="30"/>
          <w:highlight w:val="white"/>
          <w:cs/>
        </w:rPr>
        <w:t xml:space="preserve"> </w:t>
      </w:r>
      <w:r w:rsidRPr="00D12E11">
        <w:rPr>
          <w:sz w:val="30"/>
          <w:szCs w:val="30"/>
          <w:highlight w:val="white"/>
          <w:cs/>
        </w:rPr>
        <w:t>เปิดเผยว่า</w:t>
      </w:r>
      <w:r w:rsidR="002D3487" w:rsidRPr="00D12E11">
        <w:rPr>
          <w:sz w:val="30"/>
          <w:szCs w:val="30"/>
          <w:highlight w:val="white"/>
          <w:cs/>
        </w:rPr>
        <w:br/>
      </w:r>
      <w:r w:rsidR="000E3F0B" w:rsidRPr="00D12E11">
        <w:rPr>
          <w:rFonts w:hint="cs"/>
          <w:spacing w:val="-2"/>
          <w:sz w:val="30"/>
          <w:szCs w:val="30"/>
          <w:highlight w:val="white"/>
          <w:cs/>
        </w:rPr>
        <w:t xml:space="preserve">ณ </w:t>
      </w:r>
      <w:r w:rsidR="003F6CA9" w:rsidRPr="00D12E11">
        <w:rPr>
          <w:spacing w:val="-2"/>
          <w:sz w:val="30"/>
          <w:szCs w:val="30"/>
          <w:highlight w:val="white"/>
          <w:cs/>
        </w:rPr>
        <w:t>สิ้นปีงบประมาณ</w:t>
      </w:r>
      <w:r w:rsidR="008A6DE0" w:rsidRPr="00D12E11">
        <w:rPr>
          <w:spacing w:val="-2"/>
          <w:sz w:val="30"/>
          <w:szCs w:val="30"/>
          <w:highlight w:val="white"/>
        </w:rPr>
        <w:t xml:space="preserve"> </w:t>
      </w:r>
      <w:r w:rsidR="003F6CA9" w:rsidRPr="00D12E11">
        <w:rPr>
          <w:spacing w:val="-2"/>
          <w:sz w:val="30"/>
          <w:szCs w:val="30"/>
          <w:highlight w:val="white"/>
        </w:rPr>
        <w:t xml:space="preserve">2562 </w:t>
      </w:r>
      <w:r w:rsidR="00706802" w:rsidRPr="00D12E11">
        <w:rPr>
          <w:spacing w:val="-2"/>
          <w:sz w:val="30"/>
          <w:szCs w:val="30"/>
          <w:highlight w:val="white"/>
          <w:cs/>
        </w:rPr>
        <w:t>(ตุลาคม</w:t>
      </w:r>
      <w:r w:rsidR="00696B64" w:rsidRPr="00D12E11">
        <w:rPr>
          <w:spacing w:val="-2"/>
          <w:sz w:val="30"/>
          <w:szCs w:val="30"/>
          <w:highlight w:val="white"/>
          <w:cs/>
        </w:rPr>
        <w:t xml:space="preserve"> </w:t>
      </w:r>
      <w:r w:rsidR="00706802" w:rsidRPr="00D12E11">
        <w:rPr>
          <w:spacing w:val="-2"/>
          <w:sz w:val="30"/>
          <w:szCs w:val="30"/>
          <w:highlight w:val="white"/>
        </w:rPr>
        <w:t xml:space="preserve">2561 – </w:t>
      </w:r>
      <w:r w:rsidR="00706802" w:rsidRPr="00D12E11">
        <w:rPr>
          <w:spacing w:val="-2"/>
          <w:sz w:val="30"/>
          <w:szCs w:val="30"/>
          <w:highlight w:val="white"/>
          <w:cs/>
        </w:rPr>
        <w:t xml:space="preserve">กันยายน </w:t>
      </w:r>
      <w:r w:rsidR="00696B64" w:rsidRPr="00D12E11">
        <w:rPr>
          <w:spacing w:val="-2"/>
          <w:sz w:val="30"/>
          <w:szCs w:val="30"/>
          <w:highlight w:val="white"/>
        </w:rPr>
        <w:t>2562)</w:t>
      </w:r>
      <w:r w:rsidR="00696B64" w:rsidRPr="00D12E11">
        <w:rPr>
          <w:spacing w:val="-2"/>
          <w:sz w:val="30"/>
          <w:szCs w:val="30"/>
          <w:highlight w:val="white"/>
          <w:cs/>
        </w:rPr>
        <w:t xml:space="preserve"> </w:t>
      </w:r>
      <w:r w:rsidR="000E3F0B" w:rsidRPr="00D12E11">
        <w:rPr>
          <w:rFonts w:hint="cs"/>
          <w:spacing w:val="-2"/>
          <w:sz w:val="30"/>
          <w:szCs w:val="30"/>
          <w:highlight w:val="white"/>
          <w:cs/>
        </w:rPr>
        <w:t>สคร. สามารถจัดเก็บเงินนำส่งรายได้แผ่นดินจาก</w:t>
      </w:r>
      <w:r w:rsidR="00706802" w:rsidRPr="00D12E11">
        <w:rPr>
          <w:spacing w:val="-2"/>
          <w:sz w:val="30"/>
          <w:szCs w:val="30"/>
          <w:highlight w:val="white"/>
          <w:cs/>
        </w:rPr>
        <w:t xml:space="preserve">รัฐวิสาหกิจและกิจการที่กระทรวงการคลังถือหุ้นต่ำกว่าร้อยละ </w:t>
      </w:r>
      <w:r w:rsidR="00EA731F" w:rsidRPr="00D12E11">
        <w:rPr>
          <w:spacing w:val="-2"/>
          <w:sz w:val="30"/>
          <w:szCs w:val="30"/>
          <w:highlight w:val="white"/>
        </w:rPr>
        <w:t>50</w:t>
      </w:r>
      <w:r w:rsidR="00EA731F" w:rsidRPr="00D12E11">
        <w:rPr>
          <w:sz w:val="30"/>
          <w:szCs w:val="30"/>
          <w:highlight w:val="white"/>
          <w:cs/>
        </w:rPr>
        <w:t xml:space="preserve"> </w:t>
      </w:r>
      <w:r w:rsidR="00706802" w:rsidRPr="00D12E11">
        <w:rPr>
          <w:sz w:val="30"/>
          <w:szCs w:val="30"/>
          <w:highlight w:val="white"/>
          <w:cs/>
        </w:rPr>
        <w:t xml:space="preserve">(กิจการฯ) </w:t>
      </w:r>
      <w:r w:rsidR="000E3F0B" w:rsidRPr="00D12E11">
        <w:rPr>
          <w:rFonts w:hint="cs"/>
          <w:sz w:val="30"/>
          <w:szCs w:val="30"/>
          <w:highlight w:val="white"/>
          <w:cs/>
        </w:rPr>
        <w:t>รวม</w:t>
      </w:r>
      <w:r w:rsidR="00706802" w:rsidRPr="00D12E11">
        <w:rPr>
          <w:sz w:val="30"/>
          <w:szCs w:val="30"/>
          <w:highlight w:val="white"/>
          <w:cs/>
        </w:rPr>
        <w:t xml:space="preserve">จำนวน </w:t>
      </w:r>
      <w:r w:rsidR="003F6CA9" w:rsidRPr="00D12E11">
        <w:rPr>
          <w:sz w:val="30"/>
          <w:szCs w:val="30"/>
          <w:highlight w:val="white"/>
        </w:rPr>
        <w:t>16</w:t>
      </w:r>
      <w:r w:rsidR="00F77A4D" w:rsidRPr="00D12E11">
        <w:rPr>
          <w:sz w:val="30"/>
          <w:szCs w:val="30"/>
          <w:highlight w:val="white"/>
        </w:rPr>
        <w:t>9</w:t>
      </w:r>
      <w:r w:rsidR="003F6CA9" w:rsidRPr="00D12E11">
        <w:rPr>
          <w:sz w:val="30"/>
          <w:szCs w:val="30"/>
          <w:highlight w:val="white"/>
        </w:rPr>
        <w:t>,</w:t>
      </w:r>
      <w:r w:rsidR="00F77A4D" w:rsidRPr="00D12E11">
        <w:rPr>
          <w:sz w:val="30"/>
          <w:szCs w:val="30"/>
          <w:highlight w:val="white"/>
        </w:rPr>
        <w:t>15</w:t>
      </w:r>
      <w:r w:rsidR="0077588D" w:rsidRPr="00D12E11">
        <w:rPr>
          <w:sz w:val="30"/>
          <w:szCs w:val="30"/>
          <w:highlight w:val="white"/>
        </w:rPr>
        <w:t>9</w:t>
      </w:r>
      <w:r w:rsidR="00EA731F" w:rsidRPr="00D12E11">
        <w:rPr>
          <w:sz w:val="30"/>
          <w:szCs w:val="30"/>
          <w:highlight w:val="white"/>
          <w:cs/>
        </w:rPr>
        <w:t xml:space="preserve"> </w:t>
      </w:r>
      <w:r w:rsidR="003F6CA9" w:rsidRPr="00D12E11">
        <w:rPr>
          <w:sz w:val="30"/>
          <w:szCs w:val="30"/>
          <w:highlight w:val="white"/>
          <w:cs/>
        </w:rPr>
        <w:t>ล้านบาท</w:t>
      </w:r>
      <w:r w:rsidR="00E272B1" w:rsidRPr="00D12E11">
        <w:rPr>
          <w:sz w:val="30"/>
          <w:szCs w:val="30"/>
          <w:highlight w:val="white"/>
          <w:cs/>
        </w:rPr>
        <w:t xml:space="preserve"> </w:t>
      </w:r>
      <w:r w:rsidR="003F6CA9" w:rsidRPr="00D12E11">
        <w:rPr>
          <w:sz w:val="30"/>
          <w:szCs w:val="30"/>
          <w:highlight w:val="white"/>
          <w:cs/>
        </w:rPr>
        <w:t>สูงกว่า</w:t>
      </w:r>
      <w:r w:rsidR="000E3F0B" w:rsidRPr="00D12E11">
        <w:rPr>
          <w:rFonts w:hint="cs"/>
          <w:sz w:val="30"/>
          <w:szCs w:val="30"/>
          <w:highlight w:val="white"/>
          <w:cs/>
        </w:rPr>
        <w:t>เป้าหมาย</w:t>
      </w:r>
      <w:r w:rsidR="00B60510" w:rsidRPr="00D12E11">
        <w:rPr>
          <w:sz w:val="30"/>
          <w:szCs w:val="30"/>
          <w:highlight w:val="white"/>
          <w:cs/>
        </w:rPr>
        <w:t>เงินนำส่งรายได้แผ่นดิน</w:t>
      </w:r>
      <w:r w:rsidR="000E3F0B" w:rsidRPr="00D12E11">
        <w:rPr>
          <w:rFonts w:hint="cs"/>
          <w:sz w:val="30"/>
          <w:szCs w:val="30"/>
          <w:highlight w:val="white"/>
          <w:cs/>
        </w:rPr>
        <w:t>ตามเอกสารงบประมาณที่ 168</w:t>
      </w:r>
      <w:r w:rsidR="000E3F0B" w:rsidRPr="00D12E11">
        <w:rPr>
          <w:sz w:val="30"/>
          <w:szCs w:val="30"/>
          <w:highlight w:val="white"/>
        </w:rPr>
        <w:t>,</w:t>
      </w:r>
      <w:r w:rsidR="000E3F0B" w:rsidRPr="00D12E11">
        <w:rPr>
          <w:rFonts w:hint="cs"/>
          <w:sz w:val="30"/>
          <w:szCs w:val="30"/>
          <w:highlight w:val="white"/>
          <w:cs/>
        </w:rPr>
        <w:t>000</w:t>
      </w:r>
      <w:r w:rsidR="000E3F0B" w:rsidRPr="00D12E11">
        <w:rPr>
          <w:sz w:val="30"/>
          <w:szCs w:val="30"/>
          <w:highlight w:val="white"/>
        </w:rPr>
        <w:t xml:space="preserve"> </w:t>
      </w:r>
      <w:r w:rsidR="000E3F0B" w:rsidRPr="00D12E11">
        <w:rPr>
          <w:rFonts w:hint="cs"/>
          <w:sz w:val="30"/>
          <w:szCs w:val="30"/>
          <w:highlight w:val="white"/>
          <w:cs/>
        </w:rPr>
        <w:t xml:space="preserve">ล้านบาท </w:t>
      </w:r>
      <w:r w:rsidR="0077588D" w:rsidRPr="00D12E11">
        <w:rPr>
          <w:sz w:val="30"/>
          <w:szCs w:val="30"/>
          <w:highlight w:val="white"/>
          <w:cs/>
        </w:rPr>
        <w:t>จำนวน 1,15</w:t>
      </w:r>
      <w:r w:rsidR="0077588D" w:rsidRPr="00D12E11">
        <w:rPr>
          <w:sz w:val="30"/>
          <w:szCs w:val="30"/>
          <w:highlight w:val="white"/>
        </w:rPr>
        <w:t>9</w:t>
      </w:r>
      <w:r w:rsidR="00F77A4D" w:rsidRPr="00D12E11">
        <w:rPr>
          <w:sz w:val="30"/>
          <w:szCs w:val="30"/>
          <w:highlight w:val="white"/>
          <w:cs/>
        </w:rPr>
        <w:t xml:space="preserve"> ล้านบาท </w:t>
      </w:r>
    </w:p>
    <w:p w:rsidR="00192F1E" w:rsidRPr="002B210F" w:rsidRDefault="00B60510" w:rsidP="000A6444">
      <w:pPr>
        <w:pStyle w:val="Default"/>
        <w:spacing w:after="240"/>
        <w:ind w:firstLine="720"/>
        <w:jc w:val="thaiDistribute"/>
        <w:rPr>
          <w:b/>
          <w:bCs/>
          <w:sz w:val="30"/>
          <w:szCs w:val="30"/>
        </w:rPr>
      </w:pPr>
      <w:r w:rsidRPr="00277895">
        <w:rPr>
          <w:b/>
          <w:bCs/>
          <w:sz w:val="30"/>
          <w:szCs w:val="30"/>
          <w:cs/>
        </w:rPr>
        <w:t xml:space="preserve">นายชาญวิทย์ นาคบุรี รองผู้อำนวยการ สคร. </w:t>
      </w:r>
      <w:r w:rsidRPr="00D12E11">
        <w:rPr>
          <w:sz w:val="30"/>
          <w:szCs w:val="30"/>
          <w:cs/>
        </w:rPr>
        <w:t>กล่าวเพิ่มเติมว่า</w:t>
      </w:r>
      <w:r w:rsidRPr="00277895">
        <w:rPr>
          <w:b/>
          <w:bCs/>
          <w:sz w:val="30"/>
          <w:szCs w:val="30"/>
          <w:cs/>
        </w:rPr>
        <w:t xml:space="preserve"> </w:t>
      </w:r>
      <w:r w:rsidR="0077588D" w:rsidRPr="00735219">
        <w:rPr>
          <w:sz w:val="30"/>
          <w:szCs w:val="30"/>
          <w:cs/>
        </w:rPr>
        <w:t xml:space="preserve">โดยภาพรวมในปี </w:t>
      </w:r>
      <w:r w:rsidR="0077588D" w:rsidRPr="00735219">
        <w:rPr>
          <w:sz w:val="30"/>
          <w:szCs w:val="30"/>
        </w:rPr>
        <w:t>2562</w:t>
      </w:r>
      <w:r w:rsidR="0077588D" w:rsidRPr="00277895">
        <w:rPr>
          <w:b/>
          <w:bCs/>
          <w:sz w:val="30"/>
          <w:szCs w:val="30"/>
        </w:rPr>
        <w:t xml:space="preserve"> </w:t>
      </w:r>
      <w:r w:rsidR="00D80042" w:rsidRPr="00E422DD">
        <w:rPr>
          <w:sz w:val="30"/>
          <w:szCs w:val="30"/>
          <w:cs/>
        </w:rPr>
        <w:t>รัฐวิสาหกิจมีการ</w:t>
      </w:r>
      <w:r w:rsidR="00F77A4D" w:rsidRPr="00E422DD">
        <w:rPr>
          <w:sz w:val="30"/>
          <w:szCs w:val="30"/>
          <w:cs/>
        </w:rPr>
        <w:t>พัฒนา</w:t>
      </w:r>
      <w:r w:rsidR="00D80042" w:rsidRPr="00045323">
        <w:rPr>
          <w:spacing w:val="-2"/>
          <w:sz w:val="30"/>
          <w:szCs w:val="30"/>
          <w:cs/>
        </w:rPr>
        <w:t>กระบวนการบริหารจัดการให้ทันสมัย</w:t>
      </w:r>
      <w:r w:rsidR="00F77A4D" w:rsidRPr="00045323">
        <w:rPr>
          <w:spacing w:val="-2"/>
          <w:sz w:val="30"/>
          <w:szCs w:val="30"/>
          <w:cs/>
        </w:rPr>
        <w:t>อย่างต่อเนื่อง โดยนำ</w:t>
      </w:r>
      <w:r w:rsidR="00D80042" w:rsidRPr="00045323">
        <w:rPr>
          <w:spacing w:val="-2"/>
          <w:sz w:val="30"/>
          <w:szCs w:val="30"/>
          <w:cs/>
        </w:rPr>
        <w:t>เทคโนโลยีและนวัตกรรม</w:t>
      </w:r>
      <w:r w:rsidR="00026576" w:rsidRPr="00045323">
        <w:rPr>
          <w:rFonts w:hint="cs"/>
          <w:spacing w:val="-2"/>
          <w:sz w:val="30"/>
          <w:szCs w:val="30"/>
          <w:cs/>
        </w:rPr>
        <w:t>เข้า</w:t>
      </w:r>
      <w:r w:rsidR="00D80042" w:rsidRPr="00045323">
        <w:rPr>
          <w:spacing w:val="-2"/>
          <w:sz w:val="30"/>
          <w:szCs w:val="30"/>
          <w:cs/>
        </w:rPr>
        <w:t>มาช่วยให้การดำเนินงานมี</w:t>
      </w:r>
      <w:r w:rsidRPr="00045323">
        <w:rPr>
          <w:spacing w:val="-2"/>
          <w:sz w:val="30"/>
          <w:szCs w:val="30"/>
          <w:cs/>
        </w:rPr>
        <w:t>ประสิทธิภาพ</w:t>
      </w:r>
      <w:r w:rsidR="00D80042" w:rsidRPr="00277895">
        <w:rPr>
          <w:sz w:val="30"/>
          <w:szCs w:val="30"/>
          <w:cs/>
        </w:rPr>
        <w:t xml:space="preserve"> มุ่งตอบ</w:t>
      </w:r>
      <w:r w:rsidRPr="00277895">
        <w:rPr>
          <w:sz w:val="30"/>
          <w:szCs w:val="30"/>
          <w:cs/>
        </w:rPr>
        <w:t>สนอง</w:t>
      </w:r>
      <w:r w:rsidR="0077588D" w:rsidRPr="00277895">
        <w:rPr>
          <w:sz w:val="30"/>
          <w:szCs w:val="30"/>
          <w:cs/>
        </w:rPr>
        <w:t>ต่อ</w:t>
      </w:r>
      <w:r w:rsidRPr="00277895">
        <w:rPr>
          <w:sz w:val="30"/>
          <w:szCs w:val="30"/>
          <w:cs/>
        </w:rPr>
        <w:t xml:space="preserve">ความต้องการของประชาชนในด้านต่างๆ </w:t>
      </w:r>
      <w:r w:rsidR="00F77A4D" w:rsidRPr="00277895">
        <w:rPr>
          <w:sz w:val="30"/>
          <w:szCs w:val="30"/>
          <w:highlight w:val="white"/>
          <w:cs/>
        </w:rPr>
        <w:t>ส่งผลให้รัฐวิสาหกิจ</w:t>
      </w:r>
      <w:r w:rsidR="00F77A4D" w:rsidRPr="002C584B">
        <w:rPr>
          <w:sz w:val="30"/>
          <w:szCs w:val="30"/>
          <w:highlight w:val="white"/>
          <w:cs/>
        </w:rPr>
        <w:t>มีผลประกอบการที่ดีขึ้น</w:t>
      </w:r>
      <w:r w:rsidR="00A34859" w:rsidRPr="00277895">
        <w:rPr>
          <w:sz w:val="30"/>
          <w:szCs w:val="30"/>
          <w:cs/>
        </w:rPr>
        <w:t xml:space="preserve"> </w:t>
      </w:r>
      <w:r w:rsidR="0077588D" w:rsidRPr="002C584B">
        <w:rPr>
          <w:sz w:val="30"/>
          <w:szCs w:val="30"/>
          <w:cs/>
        </w:rPr>
        <w:t>ทำให้รัฐสามารถจัดเก็บรายได้แผ่นดินได้ตามเป้าห</w:t>
      </w:r>
      <w:r w:rsidR="000101F5" w:rsidRPr="002C584B">
        <w:rPr>
          <w:sz w:val="30"/>
          <w:szCs w:val="30"/>
          <w:cs/>
        </w:rPr>
        <w:t>มาย โดยรัฐวิสาหกิจ</w:t>
      </w:r>
      <w:r w:rsidR="00F12A3D">
        <w:rPr>
          <w:rFonts w:hint="cs"/>
          <w:sz w:val="30"/>
          <w:szCs w:val="30"/>
          <w:cs/>
        </w:rPr>
        <w:t>ที่มีรายได้นำส่งสูงสุด</w:t>
      </w:r>
      <w:r w:rsidR="00F043BC" w:rsidRPr="00277895">
        <w:rPr>
          <w:b/>
          <w:bCs/>
          <w:sz w:val="30"/>
          <w:szCs w:val="30"/>
          <w:cs/>
        </w:rPr>
        <w:t xml:space="preserve"> </w:t>
      </w:r>
      <w:r w:rsidR="00F043BC">
        <w:rPr>
          <w:sz w:val="30"/>
          <w:szCs w:val="30"/>
        </w:rPr>
        <w:t>10</w:t>
      </w:r>
      <w:r w:rsidR="00F043BC" w:rsidRPr="00277895">
        <w:rPr>
          <w:b/>
          <w:bCs/>
          <w:sz w:val="30"/>
          <w:szCs w:val="30"/>
          <w:cs/>
        </w:rPr>
        <w:t xml:space="preserve"> </w:t>
      </w:r>
      <w:r w:rsidR="00F07DC4">
        <w:rPr>
          <w:sz w:val="30"/>
          <w:szCs w:val="30"/>
          <w:cs/>
        </w:rPr>
        <w:t>อันดับแรก</w:t>
      </w:r>
      <w:r w:rsidR="00F07DC4" w:rsidRPr="00277895">
        <w:rPr>
          <w:sz w:val="30"/>
          <w:szCs w:val="30"/>
          <w:cs/>
        </w:rPr>
        <w:t xml:space="preserve"> </w:t>
      </w:r>
      <w:r w:rsidR="0077588D" w:rsidRPr="002C584B">
        <w:rPr>
          <w:sz w:val="30"/>
          <w:szCs w:val="30"/>
          <w:cs/>
        </w:rPr>
        <w:t>นำส่งรายได้แผ่นดิน</w:t>
      </w:r>
      <w:r w:rsidR="00277895" w:rsidRPr="002C584B">
        <w:rPr>
          <w:sz w:val="30"/>
          <w:szCs w:val="30"/>
          <w:cs/>
        </w:rPr>
        <w:t xml:space="preserve">คิดเป็นร้อยละ </w:t>
      </w:r>
      <w:r w:rsidR="00277895" w:rsidRPr="002C584B">
        <w:rPr>
          <w:sz w:val="30"/>
          <w:szCs w:val="30"/>
        </w:rPr>
        <w:t xml:space="preserve">88 </w:t>
      </w:r>
      <w:r w:rsidR="00277895" w:rsidRPr="002C584B">
        <w:rPr>
          <w:sz w:val="30"/>
          <w:szCs w:val="30"/>
          <w:cs/>
        </w:rPr>
        <w:t>ของเงินนำส่ง</w:t>
      </w:r>
      <w:r w:rsidR="00F12A3D">
        <w:rPr>
          <w:rFonts w:hint="cs"/>
          <w:sz w:val="30"/>
          <w:szCs w:val="30"/>
          <w:cs/>
        </w:rPr>
        <w:t>รายได้</w:t>
      </w:r>
      <w:r w:rsidR="00277895" w:rsidRPr="002C584B">
        <w:rPr>
          <w:sz w:val="30"/>
          <w:szCs w:val="30"/>
          <w:cs/>
        </w:rPr>
        <w:t>ทั้งหมด โดยสรุปได้ดังนี้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219"/>
        <w:gridCol w:w="3010"/>
      </w:tblGrid>
      <w:tr w:rsidR="00192F1E" w:rsidRPr="00093887" w:rsidTr="00F77B75">
        <w:tc>
          <w:tcPr>
            <w:tcW w:w="851" w:type="dxa"/>
          </w:tcPr>
          <w:p w:rsidR="00192F1E" w:rsidRPr="00093887" w:rsidRDefault="00192F1E" w:rsidP="00192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</w:pPr>
            <w:r w:rsidRPr="00093887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  <w:t>ลำดับที่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</w:pPr>
            <w:r w:rsidRPr="00093887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  <w:t>รัฐวิสาหกิจ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</w:pPr>
            <w:r w:rsidRPr="00093887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highlight w:val="white"/>
                <w:cs/>
              </w:rPr>
              <w:t>รายได้นำส่ง (ล้านบาท)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สำนักงานสลากกินแบ่งรัฐบาล</w:t>
            </w:r>
          </w:p>
        </w:tc>
        <w:tc>
          <w:tcPr>
            <w:tcW w:w="3010" w:type="dxa"/>
          </w:tcPr>
          <w:p w:rsidR="00192F1E" w:rsidRPr="00093887" w:rsidRDefault="00192F1E" w:rsidP="00FD531B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4</w:t>
            </w:r>
            <w:r w:rsidR="00FD531B"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1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</w:t>
            </w:r>
            <w:r w:rsidR="00FD531B"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916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บริษัท ปตท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 xml:space="preserve">. 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จำกัด (มหาชน)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29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,198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3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การไฟฟ้าฝ่ายผลิตแห่งประเทศไทย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18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,924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ธนาคารออมสิน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  <w:cs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16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538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การไฟฟ้าส่วนภูมิภาค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10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,903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  <w:cs/>
              </w:rPr>
              <w:t>10</w:t>
            </w:r>
            <w:r w:rsidRPr="00093887">
              <w:rPr>
                <w:rFonts w:ascii="TH SarabunPSK" w:hAnsi="TH SarabunPSK" w:cs="TH SarabunPSK"/>
                <w:sz w:val="30"/>
                <w:szCs w:val="30"/>
                <w:highlight w:val="white"/>
              </w:rPr>
              <w:t>,500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cs/>
              </w:rPr>
              <w:t>ธนาคารอาคารสงเคราะห์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</w:rPr>
              <w:t>5,646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</w:rPr>
              <w:t>5,582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9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cs/>
              </w:rPr>
              <w:t>การไฟฟ้านครหลวง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</w:rPr>
              <w:t>5,500</w:t>
            </w:r>
          </w:p>
        </w:tc>
      </w:tr>
      <w:tr w:rsidR="00192F1E" w:rsidRPr="00093887" w:rsidTr="00F77B75">
        <w:tc>
          <w:tcPr>
            <w:tcW w:w="851" w:type="dxa"/>
          </w:tcPr>
          <w:p w:rsidR="00192F1E" w:rsidRPr="00093887" w:rsidRDefault="00192F1E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  <w:t>10</w:t>
            </w:r>
          </w:p>
        </w:tc>
        <w:tc>
          <w:tcPr>
            <w:tcW w:w="4219" w:type="dxa"/>
          </w:tcPr>
          <w:p w:rsidR="00192F1E" w:rsidRPr="00093887" w:rsidRDefault="00192F1E" w:rsidP="00192F1E">
            <w:pPr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  <w:cs/>
              </w:rPr>
              <w:t>การท่าเรือแห่งประเทศไทย</w:t>
            </w:r>
          </w:p>
        </w:tc>
        <w:tc>
          <w:tcPr>
            <w:tcW w:w="3010" w:type="dxa"/>
          </w:tcPr>
          <w:p w:rsidR="00192F1E" w:rsidRPr="00093887" w:rsidRDefault="00192F1E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 w:rsidRPr="00093887">
              <w:rPr>
                <w:rFonts w:ascii="TH SarabunPSK" w:hAnsi="TH SarabunPSK" w:cs="TH SarabunPSK"/>
                <w:sz w:val="30"/>
                <w:szCs w:val="30"/>
              </w:rPr>
              <w:t>4,760</w:t>
            </w:r>
          </w:p>
        </w:tc>
      </w:tr>
      <w:tr w:rsidR="00CF110A" w:rsidRPr="00093887" w:rsidTr="00F77B75">
        <w:tc>
          <w:tcPr>
            <w:tcW w:w="851" w:type="dxa"/>
          </w:tcPr>
          <w:p w:rsidR="00CF110A" w:rsidRPr="00093887" w:rsidRDefault="0020004C" w:rsidP="00321E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highlight w:val="white"/>
              </w:rPr>
            </w:pPr>
            <w:r>
              <w:rPr>
                <w:rFonts w:ascii="TH SarabunPSK" w:hAnsi="TH SarabunPSK" w:cs="TH SarabunPSK" w:hint="cs"/>
                <w:spacing w:val="6"/>
                <w:sz w:val="30"/>
                <w:szCs w:val="30"/>
                <w:highlight w:val="white"/>
                <w:cs/>
              </w:rPr>
              <w:t>11</w:t>
            </w:r>
          </w:p>
        </w:tc>
        <w:tc>
          <w:tcPr>
            <w:tcW w:w="4219" w:type="dxa"/>
          </w:tcPr>
          <w:p w:rsidR="00CF110A" w:rsidRPr="00093887" w:rsidRDefault="00CF110A" w:rsidP="00192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</w:p>
        </w:tc>
        <w:tc>
          <w:tcPr>
            <w:tcW w:w="3010" w:type="dxa"/>
          </w:tcPr>
          <w:p w:rsidR="00CF110A" w:rsidRPr="00093887" w:rsidRDefault="00CF110A" w:rsidP="00192F1E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692</w:t>
            </w:r>
          </w:p>
        </w:tc>
      </w:tr>
      <w:tr w:rsidR="002D5D52" w:rsidRPr="00093887" w:rsidTr="002D5D52">
        <w:tc>
          <w:tcPr>
            <w:tcW w:w="851" w:type="dxa"/>
          </w:tcPr>
          <w:p w:rsidR="002D5D52" w:rsidRPr="00093887" w:rsidRDefault="002D5D52" w:rsidP="00D61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19" w:type="dxa"/>
          </w:tcPr>
          <w:p w:rsidR="002D5D52" w:rsidRPr="00093887" w:rsidRDefault="002D5D52" w:rsidP="00D61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38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10" w:type="dxa"/>
          </w:tcPr>
          <w:p w:rsidR="002D5D52" w:rsidRPr="00093887" w:rsidRDefault="00991FA2" w:rsidP="00991FA2">
            <w:pPr>
              <w:tabs>
                <w:tab w:val="left" w:pos="1768"/>
              </w:tabs>
              <w:spacing w:after="0" w:line="240" w:lineRule="auto"/>
              <w:ind w:right="102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2D5D52" w:rsidRPr="000938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159</w:t>
            </w:r>
          </w:p>
        </w:tc>
      </w:tr>
    </w:tbl>
    <w:p w:rsidR="00D6127D" w:rsidRPr="003F3BFB" w:rsidRDefault="001D14F1" w:rsidP="005A4AF4">
      <w:pPr>
        <w:spacing w:before="240" w:after="24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A4AF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ผู้อำนวยการ</w:t>
      </w:r>
      <w:r w:rsidR="00765073" w:rsidRPr="005A4AF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Pr="005A4AF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สคร</w:t>
      </w:r>
      <w:r w:rsidR="00CF798B" w:rsidRPr="005A4AF4">
        <w:rPr>
          <w:rFonts w:ascii="TH SarabunPSK" w:hAnsi="TH SarabunPSK" w:cs="TH SarabunPSK"/>
          <w:b/>
          <w:spacing w:val="-4"/>
          <w:sz w:val="30"/>
          <w:szCs w:val="30"/>
        </w:rPr>
        <w:t>.</w:t>
      </w:r>
      <w:r w:rsidR="002D3487" w:rsidRPr="005A4AF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Pr="00D12E11">
        <w:rPr>
          <w:rFonts w:ascii="TH SarabunPSK" w:hAnsi="TH SarabunPSK" w:cs="TH SarabunPSK"/>
          <w:spacing w:val="-4"/>
          <w:sz w:val="30"/>
          <w:szCs w:val="30"/>
          <w:cs/>
        </w:rPr>
        <w:t>กล่าวสรุปว่า</w:t>
      </w:r>
      <w:r w:rsidR="007D19C1" w:rsidRPr="005A4AF4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="00775272" w:rsidRPr="003F3BFB">
        <w:rPr>
          <w:rFonts w:ascii="TH SarabunPSK" w:hAnsi="TH SarabunPSK" w:cs="TH SarabunPSK" w:hint="cs"/>
          <w:spacing w:val="-4"/>
          <w:sz w:val="30"/>
          <w:szCs w:val="30"/>
          <w:cs/>
        </w:rPr>
        <w:t>ในปีงบประมาณ 2563 สคร. มีเป้าหมายการจัดเก็บรายได้</w:t>
      </w:r>
      <w:r w:rsidR="005A4AF4" w:rsidRPr="003F3BFB">
        <w:rPr>
          <w:rFonts w:ascii="TH SarabunPSK" w:hAnsi="TH SarabunPSK" w:cs="TH SarabunPSK" w:hint="cs"/>
          <w:spacing w:val="-4"/>
          <w:sz w:val="30"/>
          <w:szCs w:val="30"/>
          <w:cs/>
        </w:rPr>
        <w:t>นำส่ง</w:t>
      </w:r>
      <w:r w:rsidR="00775272" w:rsidRPr="003F3BFB">
        <w:rPr>
          <w:rFonts w:ascii="TH SarabunPSK" w:hAnsi="TH SarabunPSK" w:cs="TH SarabunPSK" w:hint="cs"/>
          <w:spacing w:val="-4"/>
          <w:sz w:val="30"/>
          <w:szCs w:val="30"/>
          <w:cs/>
        </w:rPr>
        <w:t>จากรัฐวิสาหกิจ</w:t>
      </w:r>
      <w:r w:rsidR="000062E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775272" w:rsidRPr="003F3BFB">
        <w:rPr>
          <w:rFonts w:ascii="TH SarabunPSK" w:hAnsi="TH SarabunPSK" w:cs="TH SarabunPSK" w:hint="cs"/>
          <w:sz w:val="30"/>
          <w:szCs w:val="30"/>
          <w:cs/>
        </w:rPr>
        <w:t>และกิจการฯ จำนวน 188</w:t>
      </w:r>
      <w:r w:rsidR="00775272" w:rsidRPr="003F3BFB">
        <w:rPr>
          <w:rFonts w:ascii="TH SarabunPSK" w:hAnsi="TH SarabunPSK" w:cs="TH SarabunPSK"/>
          <w:sz w:val="30"/>
          <w:szCs w:val="30"/>
        </w:rPr>
        <w:t>,800</w:t>
      </w:r>
      <w:r w:rsidR="00775272" w:rsidRPr="003F3BFB">
        <w:rPr>
          <w:rFonts w:ascii="TH SarabunPSK" w:hAnsi="TH SarabunPSK" w:cs="TH SarabunPSK" w:hint="cs"/>
          <w:sz w:val="30"/>
          <w:szCs w:val="30"/>
          <w:cs/>
        </w:rPr>
        <w:t xml:space="preserve"> ล้านบาท โดย </w:t>
      </w:r>
      <w:r w:rsidR="00E422DD" w:rsidRPr="003F3BFB">
        <w:rPr>
          <w:rFonts w:ascii="TH SarabunPSK" w:hAnsi="TH SarabunPSK" w:cs="TH SarabunPSK"/>
          <w:sz w:val="30"/>
          <w:szCs w:val="30"/>
          <w:cs/>
        </w:rPr>
        <w:t>สคร</w:t>
      </w:r>
      <w:r w:rsidR="00E422DD" w:rsidRPr="003F3BFB">
        <w:rPr>
          <w:rFonts w:ascii="TH SarabunPSK" w:hAnsi="TH SarabunPSK" w:cs="TH SarabunPSK"/>
          <w:sz w:val="30"/>
          <w:szCs w:val="30"/>
        </w:rPr>
        <w:t>.</w:t>
      </w:r>
      <w:r w:rsidR="00F31835" w:rsidRPr="003F3BFB">
        <w:rPr>
          <w:sz w:val="30"/>
          <w:szCs w:val="30"/>
          <w:highlight w:val="white"/>
          <w:cs/>
        </w:rPr>
        <w:t xml:space="preserve"> </w:t>
      </w:r>
      <w:r w:rsidR="000062E9">
        <w:rPr>
          <w:rFonts w:ascii="TH SarabunPSK" w:hAnsi="TH SarabunPSK" w:cs="TH SarabunPSK" w:hint="cs"/>
          <w:sz w:val="30"/>
          <w:szCs w:val="30"/>
          <w:cs/>
        </w:rPr>
        <w:t>จะ</w:t>
      </w:r>
      <w:r w:rsidR="00775272" w:rsidRPr="003F3BFB">
        <w:rPr>
          <w:rFonts w:ascii="TH SarabunPSK" w:hAnsi="TH SarabunPSK" w:cs="TH SarabunPSK" w:hint="cs"/>
          <w:sz w:val="30"/>
          <w:szCs w:val="30"/>
          <w:cs/>
        </w:rPr>
        <w:t>ยังคง</w:t>
      </w:r>
      <w:r w:rsidR="002B210F" w:rsidRPr="003F3BFB">
        <w:rPr>
          <w:rFonts w:ascii="TH SarabunPSK" w:hAnsi="TH SarabunPSK" w:cs="TH SarabunPSK"/>
          <w:sz w:val="30"/>
          <w:szCs w:val="30"/>
          <w:cs/>
        </w:rPr>
        <w:t>ให้ความสำคัญกับการเพิ่มประสิทธิภาพ</w:t>
      </w:r>
      <w:r w:rsidR="00775272" w:rsidRPr="003F3BFB">
        <w:rPr>
          <w:rFonts w:ascii="TH SarabunPSK" w:hAnsi="TH SarabunPSK" w:cs="TH SarabunPSK"/>
          <w:sz w:val="30"/>
          <w:szCs w:val="30"/>
          <w:cs/>
        </w:rPr>
        <w:t>การจัดเก็บรายได้แผ่นดิน</w:t>
      </w:r>
      <w:r w:rsidR="002B210F" w:rsidRPr="003F3BFB">
        <w:rPr>
          <w:rFonts w:ascii="TH SarabunPSK" w:hAnsi="TH SarabunPSK" w:cs="TH SarabunPSK"/>
          <w:sz w:val="30"/>
          <w:szCs w:val="30"/>
          <w:cs/>
        </w:rPr>
        <w:t>และสนับสนุนการดำเนินงานของรัฐวิสาหกิจให้มีประสิทธิภาพและประสิทธิผลมากขึ้น เพื่อให้การจัดเก็บรายได้</w:t>
      </w:r>
      <w:r w:rsidR="00E422DD" w:rsidRPr="003F3BFB">
        <w:rPr>
          <w:rFonts w:ascii="TH SarabunPSK" w:hAnsi="TH SarabunPSK" w:cs="TH SarabunPSK"/>
          <w:sz w:val="30"/>
          <w:szCs w:val="30"/>
          <w:cs/>
        </w:rPr>
        <w:t>แผ่นดิน</w:t>
      </w:r>
      <w:r w:rsidR="002B210F" w:rsidRPr="003F3BFB">
        <w:rPr>
          <w:rFonts w:ascii="TH SarabunPSK" w:hAnsi="TH SarabunPSK" w:cs="TH SarabunPSK"/>
          <w:sz w:val="30"/>
          <w:szCs w:val="30"/>
        </w:rPr>
        <w:t xml:space="preserve"> </w:t>
      </w:r>
      <w:r w:rsidR="005A4AF4" w:rsidRPr="003F3BFB">
        <w:rPr>
          <w:rFonts w:ascii="TH SarabunPSK" w:hAnsi="TH SarabunPSK" w:cs="TH SarabunPSK" w:hint="cs"/>
          <w:sz w:val="30"/>
          <w:szCs w:val="30"/>
          <w:cs/>
        </w:rPr>
        <w:br/>
      </w:r>
      <w:r w:rsidR="002B210F" w:rsidRPr="003F3BFB">
        <w:rPr>
          <w:rFonts w:ascii="TH SarabunPSK" w:hAnsi="TH SarabunPSK" w:cs="TH SarabunPSK"/>
          <w:sz w:val="30"/>
          <w:szCs w:val="30"/>
          <w:cs/>
        </w:rPr>
        <w:t>เป็นเครื่องมือ</w:t>
      </w:r>
      <w:r w:rsidR="00D6127D" w:rsidRPr="003F3BFB">
        <w:rPr>
          <w:rFonts w:ascii="TH SarabunPSK" w:hAnsi="TH SarabunPSK" w:cs="TH SarabunPSK"/>
          <w:sz w:val="30"/>
          <w:szCs w:val="30"/>
          <w:cs/>
        </w:rPr>
        <w:t>ในการรักษาเสถียรภาพทางการคลัง</w:t>
      </w:r>
      <w:r w:rsidR="002B210F" w:rsidRPr="003F3BFB">
        <w:rPr>
          <w:rFonts w:ascii="TH SarabunPSK" w:hAnsi="TH SarabunPSK" w:cs="TH SarabunPSK"/>
          <w:sz w:val="30"/>
          <w:szCs w:val="30"/>
          <w:cs/>
        </w:rPr>
        <w:t>ให้แก่</w:t>
      </w:r>
      <w:r w:rsidR="00D6127D" w:rsidRPr="003F3BFB">
        <w:rPr>
          <w:rFonts w:ascii="TH SarabunPSK" w:hAnsi="TH SarabunPSK" w:cs="TH SarabunPSK"/>
          <w:sz w:val="30"/>
          <w:szCs w:val="30"/>
          <w:cs/>
        </w:rPr>
        <w:t>ประเทศ</w:t>
      </w:r>
      <w:r w:rsidR="002B210F" w:rsidRPr="003F3BFB">
        <w:rPr>
          <w:rFonts w:ascii="TH SarabunPSK" w:hAnsi="TH SarabunPSK" w:cs="TH SarabunPSK"/>
          <w:sz w:val="30"/>
          <w:szCs w:val="30"/>
          <w:cs/>
        </w:rPr>
        <w:t>อย่างยั่งยืนต่อไป</w:t>
      </w:r>
    </w:p>
    <w:p w:rsidR="00D6127D" w:rsidRPr="00093887" w:rsidRDefault="00D6127D" w:rsidP="00D6127D">
      <w:pPr>
        <w:spacing w:after="240" w:line="240" w:lineRule="auto"/>
        <w:jc w:val="center"/>
        <w:rPr>
          <w:rFonts w:ascii="TH SarabunPSK" w:hAnsi="TH SarabunPSK" w:cs="TH SarabunPSK"/>
          <w:sz w:val="30"/>
          <w:szCs w:val="30"/>
          <w:highlight w:val="white"/>
        </w:rPr>
      </w:pPr>
      <w:r w:rsidRPr="00093887">
        <w:rPr>
          <w:rFonts w:ascii="TH SarabunPSK" w:hAnsi="TH SarabunPSK" w:cs="TH SarabunPSK"/>
          <w:b/>
          <w:sz w:val="30"/>
          <w:szCs w:val="30"/>
        </w:rPr>
        <w:t>**********************************************</w:t>
      </w:r>
    </w:p>
    <w:p w:rsidR="005F54D2" w:rsidRDefault="005F54D2" w:rsidP="007C4354">
      <w:pPr>
        <w:tabs>
          <w:tab w:val="left" w:pos="1843"/>
          <w:tab w:val="left" w:pos="2127"/>
          <w:tab w:val="left" w:pos="2835"/>
        </w:tabs>
        <w:spacing w:after="0"/>
        <w:rPr>
          <w:rFonts w:ascii="TH SarabunPSK" w:hAnsi="TH SarabunPSK" w:cs="TH SarabunPSK"/>
          <w:bCs/>
          <w:sz w:val="30"/>
          <w:szCs w:val="30"/>
        </w:rPr>
      </w:pPr>
    </w:p>
    <w:p w:rsidR="00FF4446" w:rsidRDefault="00321ED6" w:rsidP="007C4354">
      <w:pPr>
        <w:tabs>
          <w:tab w:val="left" w:pos="1843"/>
          <w:tab w:val="left" w:pos="2127"/>
          <w:tab w:val="left" w:pos="2835"/>
        </w:tabs>
        <w:spacing w:after="0"/>
        <w:rPr>
          <w:rFonts w:ascii="TH SarabunPSK" w:hAnsi="TH SarabunPSK" w:cs="TH SarabunPSK"/>
          <w:bCs/>
          <w:sz w:val="30"/>
          <w:szCs w:val="30"/>
        </w:rPr>
      </w:pPr>
      <w:r w:rsidRPr="00093887">
        <w:rPr>
          <w:rFonts w:ascii="TH SarabunPSK" w:hAnsi="TH SarabunPSK" w:cs="TH SarabunPSK"/>
          <w:bCs/>
          <w:sz w:val="30"/>
          <w:szCs w:val="30"/>
          <w:cs/>
        </w:rPr>
        <w:t>สำนักงานคณะกรรมการนโยบายรัฐวิสาหกิจ</w:t>
      </w:r>
    </w:p>
    <w:p w:rsidR="00321ED6" w:rsidRPr="00093887" w:rsidRDefault="00321ED6" w:rsidP="007C4354">
      <w:pPr>
        <w:tabs>
          <w:tab w:val="left" w:pos="1843"/>
          <w:tab w:val="left" w:pos="2127"/>
          <w:tab w:val="left" w:pos="2835"/>
        </w:tabs>
        <w:spacing w:after="0"/>
        <w:rPr>
          <w:rFonts w:ascii="TH SarabunPSK" w:hAnsi="TH SarabunPSK" w:cs="TH SarabunPSK"/>
          <w:b/>
          <w:sz w:val="30"/>
          <w:szCs w:val="30"/>
        </w:rPr>
      </w:pPr>
      <w:r w:rsidRPr="00093887">
        <w:rPr>
          <w:rFonts w:ascii="TH SarabunPSK" w:hAnsi="TH SarabunPSK" w:cs="TH SarabunPSK"/>
          <w:b/>
          <w:sz w:val="30"/>
          <w:szCs w:val="30"/>
          <w:cs/>
        </w:rPr>
        <w:t>สำนักนโยบายและแผนรัฐวิสาหกิจ</w:t>
      </w:r>
    </w:p>
    <w:p w:rsidR="00D82D7D" w:rsidRPr="00093887" w:rsidRDefault="001D7706" w:rsidP="007C4354">
      <w:pPr>
        <w:tabs>
          <w:tab w:val="left" w:pos="1843"/>
          <w:tab w:val="left" w:pos="2127"/>
          <w:tab w:val="left" w:pos="2835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093887">
        <w:rPr>
          <w:rFonts w:ascii="TH SarabunPSK" w:hAnsi="TH SarabunPSK" w:cs="TH SarabunPSK"/>
          <w:sz w:val="30"/>
          <w:szCs w:val="30"/>
          <w:cs/>
        </w:rPr>
        <w:t>โทร.0 22</w:t>
      </w:r>
      <w:r w:rsidR="00944CB0" w:rsidRPr="00093887">
        <w:rPr>
          <w:rFonts w:ascii="TH SarabunPSK" w:hAnsi="TH SarabunPSK" w:cs="TH SarabunPSK"/>
          <w:sz w:val="30"/>
          <w:szCs w:val="30"/>
          <w:cs/>
        </w:rPr>
        <w:t>9</w:t>
      </w:r>
      <w:r w:rsidRPr="00093887">
        <w:rPr>
          <w:rFonts w:ascii="TH SarabunPSK" w:hAnsi="TH SarabunPSK" w:cs="TH SarabunPSK"/>
          <w:sz w:val="30"/>
          <w:szCs w:val="30"/>
          <w:cs/>
        </w:rPr>
        <w:t>8 5880-7 ต่อ 3157</w:t>
      </w:r>
    </w:p>
    <w:sectPr w:rsidR="00D82D7D" w:rsidRPr="00093887" w:rsidSect="00EA731F">
      <w:headerReference w:type="default" r:id="rId9"/>
      <w:pgSz w:w="11906" w:h="16838"/>
      <w:pgMar w:top="-2410" w:right="991" w:bottom="1260" w:left="1276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2A" w:rsidRDefault="000E002A" w:rsidP="00D82D7D">
      <w:pPr>
        <w:spacing w:after="0" w:line="240" w:lineRule="auto"/>
      </w:pPr>
      <w:r>
        <w:separator/>
      </w:r>
    </w:p>
  </w:endnote>
  <w:endnote w:type="continuationSeparator" w:id="0">
    <w:p w:rsidR="000E002A" w:rsidRDefault="000E002A" w:rsidP="00D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2A" w:rsidRDefault="000E002A" w:rsidP="00D82D7D">
      <w:pPr>
        <w:spacing w:after="0" w:line="240" w:lineRule="auto"/>
      </w:pPr>
      <w:r>
        <w:separator/>
      </w:r>
    </w:p>
  </w:footnote>
  <w:footnote w:type="continuationSeparator" w:id="0">
    <w:p w:rsidR="000E002A" w:rsidRDefault="000E002A" w:rsidP="00D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A" w:rsidRDefault="000E002A" w:rsidP="00AA0581">
    <w:pPr>
      <w:tabs>
        <w:tab w:val="left" w:pos="2835"/>
        <w:tab w:val="left" w:pos="3402"/>
      </w:tabs>
      <w:spacing w:after="0"/>
      <w:rPr>
        <w:rFonts w:ascii="TH SarabunPSK" w:eastAsia="Sarabun" w:hAnsi="TH SarabunPSK" w:cs="TH SarabunPSK"/>
        <w:b/>
        <w:bCs/>
        <w:i/>
        <w:iCs/>
        <w:sz w:val="44"/>
        <w:szCs w:val="44"/>
      </w:rPr>
    </w:pPr>
    <w:r w:rsidRPr="00BD0F41">
      <w:rPr>
        <w:rFonts w:ascii="TH SarabunPSK" w:hAnsi="TH SarabunPSK" w:cs="TH SarabunPSK"/>
        <w:noProof/>
      </w:rPr>
      <w:drawing>
        <wp:anchor distT="0" distB="0" distL="114300" distR="114300" simplePos="0" relativeHeight="251657216" behindDoc="0" locked="0" layoutInCell="1" allowOverlap="1" wp14:anchorId="73EA7DF1" wp14:editId="05EE8A21">
          <wp:simplePos x="0" y="0"/>
          <wp:positionH relativeFrom="column">
            <wp:posOffset>47625</wp:posOffset>
          </wp:positionH>
          <wp:positionV relativeFrom="paragraph">
            <wp:posOffset>224155</wp:posOffset>
          </wp:positionV>
          <wp:extent cx="1097280" cy="1056005"/>
          <wp:effectExtent l="0" t="0" r="7620" b="0"/>
          <wp:wrapSquare wrapText="bothSides"/>
          <wp:docPr id="1" name="image1.png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สค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5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002A" w:rsidRPr="00F86590" w:rsidRDefault="000E002A" w:rsidP="00AA0581">
    <w:pPr>
      <w:tabs>
        <w:tab w:val="left" w:pos="2835"/>
        <w:tab w:val="left" w:pos="3402"/>
      </w:tabs>
      <w:spacing w:after="0"/>
      <w:rPr>
        <w:rFonts w:ascii="TH SarabunPSK" w:eastAsia="Sarabun" w:hAnsi="TH SarabunPSK" w:cs="TH SarabunPSK"/>
        <w:b/>
        <w:i/>
        <w:sz w:val="44"/>
        <w:szCs w:val="44"/>
      </w:rPr>
    </w:pPr>
    <w:r>
      <w:rPr>
        <w:rFonts w:ascii="TH SarabunPSK" w:eastAsia="Sarabun" w:hAnsi="TH SarabunPSK" w:cs="TH SarabunPSK"/>
        <w:b/>
        <w:bCs/>
        <w:i/>
        <w:iCs/>
        <w:sz w:val="44"/>
        <w:szCs w:val="44"/>
      </w:rPr>
      <w:tab/>
      <w:t xml:space="preserve">  </w:t>
    </w:r>
    <w:r w:rsidRPr="00F86590">
      <w:rPr>
        <w:rFonts w:ascii="TH SarabunPSK" w:eastAsia="Sarabun" w:hAnsi="TH SarabunPSK" w:cs="TH SarabunPSK"/>
        <w:b/>
        <w:bCs/>
        <w:i/>
        <w:iCs/>
        <w:sz w:val="44"/>
        <w:szCs w:val="44"/>
        <w:cs/>
      </w:rPr>
      <w:t>สำนักงานคณะกรรมการนโยบายรัฐวิสาหกิจ</w:t>
    </w:r>
  </w:p>
  <w:p w:rsidR="000E002A" w:rsidRPr="00BF2C43" w:rsidRDefault="000E002A" w:rsidP="00BF2C43">
    <w:pPr>
      <w:tabs>
        <w:tab w:val="left" w:pos="2268"/>
      </w:tabs>
      <w:spacing w:after="0" w:line="240" w:lineRule="auto"/>
      <w:rPr>
        <w:rFonts w:ascii="TH SarabunPSK" w:eastAsia="Sarabun" w:hAnsi="TH SarabunPSK" w:cs="TH SarabunPSK"/>
        <w:sz w:val="32"/>
        <w:szCs w:val="32"/>
      </w:rPr>
    </w:pPr>
    <w:r>
      <w:rPr>
        <w:rFonts w:ascii="TH SarabunPSK" w:eastAsia="Sarabun" w:hAnsi="TH SarabunPSK" w:cs="TH SarabunPSK"/>
        <w:sz w:val="32"/>
        <w:szCs w:val="32"/>
      </w:rPr>
      <w:tab/>
    </w:r>
    <w:r w:rsidRPr="00F86590">
      <w:rPr>
        <w:rFonts w:ascii="TH SarabunPSK" w:eastAsia="Sarabun" w:hAnsi="TH SarabunPSK" w:cs="TH SarabunPSK"/>
        <w:sz w:val="32"/>
        <w:szCs w:val="32"/>
        <w:cs/>
      </w:rPr>
      <w:t xml:space="preserve">สำนักนโยบายและแผนรัฐวิสาหกิจ โทร </w:t>
    </w:r>
    <w:r w:rsidRPr="00F86590">
      <w:rPr>
        <w:rFonts w:ascii="TH SarabunPSK" w:eastAsia="Sarabun" w:hAnsi="TH SarabunPSK" w:cs="TH SarabunPSK"/>
        <w:sz w:val="32"/>
        <w:szCs w:val="32"/>
      </w:rPr>
      <w:t xml:space="preserve">0 2298 5880-7 </w:t>
    </w:r>
    <w:r w:rsidRPr="00F86590">
      <w:rPr>
        <w:rFonts w:ascii="TH SarabunPSK" w:eastAsia="Sarabun" w:hAnsi="TH SarabunPSK" w:cs="TH SarabunPSK"/>
        <w:sz w:val="32"/>
        <w:szCs w:val="32"/>
        <w:cs/>
      </w:rPr>
      <w:t xml:space="preserve">โทรสาร </w:t>
    </w:r>
    <w:r w:rsidRPr="00F86590">
      <w:rPr>
        <w:rFonts w:ascii="TH SarabunPSK" w:eastAsia="Sarabun" w:hAnsi="TH SarabunPSK" w:cs="TH SarabunPSK"/>
        <w:sz w:val="32"/>
        <w:szCs w:val="32"/>
      </w:rPr>
      <w:t>0 2279 8547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86C"/>
    <w:multiLevelType w:val="hybridMultilevel"/>
    <w:tmpl w:val="36C0C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D"/>
    <w:rsid w:val="000062E9"/>
    <w:rsid w:val="000101F5"/>
    <w:rsid w:val="00026567"/>
    <w:rsid w:val="00026576"/>
    <w:rsid w:val="000419F6"/>
    <w:rsid w:val="0004323D"/>
    <w:rsid w:val="00045323"/>
    <w:rsid w:val="00063BBA"/>
    <w:rsid w:val="00066386"/>
    <w:rsid w:val="00080048"/>
    <w:rsid w:val="0009155E"/>
    <w:rsid w:val="00091955"/>
    <w:rsid w:val="00093887"/>
    <w:rsid w:val="000A6444"/>
    <w:rsid w:val="000D3F9A"/>
    <w:rsid w:val="000E002A"/>
    <w:rsid w:val="000E26C9"/>
    <w:rsid w:val="000E3F0B"/>
    <w:rsid w:val="000E4747"/>
    <w:rsid w:val="000E4B82"/>
    <w:rsid w:val="000E6BFB"/>
    <w:rsid w:val="000F2488"/>
    <w:rsid w:val="000F50E1"/>
    <w:rsid w:val="001000D4"/>
    <w:rsid w:val="00101CC3"/>
    <w:rsid w:val="00131B6E"/>
    <w:rsid w:val="00133574"/>
    <w:rsid w:val="0014313E"/>
    <w:rsid w:val="00146A54"/>
    <w:rsid w:val="0015100C"/>
    <w:rsid w:val="00161DA7"/>
    <w:rsid w:val="00181E23"/>
    <w:rsid w:val="00183175"/>
    <w:rsid w:val="0018341B"/>
    <w:rsid w:val="00183B23"/>
    <w:rsid w:val="00186BAF"/>
    <w:rsid w:val="00192F1E"/>
    <w:rsid w:val="001A08A0"/>
    <w:rsid w:val="001C309C"/>
    <w:rsid w:val="001D14F1"/>
    <w:rsid w:val="001D6E6F"/>
    <w:rsid w:val="001D7706"/>
    <w:rsid w:val="0020004C"/>
    <w:rsid w:val="00213EF1"/>
    <w:rsid w:val="002178AE"/>
    <w:rsid w:val="002219CD"/>
    <w:rsid w:val="00233805"/>
    <w:rsid w:val="00242C32"/>
    <w:rsid w:val="00255551"/>
    <w:rsid w:val="002613B9"/>
    <w:rsid w:val="00266DE3"/>
    <w:rsid w:val="00272C54"/>
    <w:rsid w:val="002757F1"/>
    <w:rsid w:val="00277895"/>
    <w:rsid w:val="0028596D"/>
    <w:rsid w:val="002972C5"/>
    <w:rsid w:val="002B210F"/>
    <w:rsid w:val="002B446B"/>
    <w:rsid w:val="002C584B"/>
    <w:rsid w:val="002D1D68"/>
    <w:rsid w:val="002D1ED3"/>
    <w:rsid w:val="002D3487"/>
    <w:rsid w:val="002D5D52"/>
    <w:rsid w:val="002E1416"/>
    <w:rsid w:val="002F1560"/>
    <w:rsid w:val="002F7AC6"/>
    <w:rsid w:val="00301E25"/>
    <w:rsid w:val="003117E0"/>
    <w:rsid w:val="00314008"/>
    <w:rsid w:val="003157E8"/>
    <w:rsid w:val="00321ED6"/>
    <w:rsid w:val="003233C4"/>
    <w:rsid w:val="00356881"/>
    <w:rsid w:val="00367C59"/>
    <w:rsid w:val="003712D0"/>
    <w:rsid w:val="0039473A"/>
    <w:rsid w:val="00395198"/>
    <w:rsid w:val="003A28F5"/>
    <w:rsid w:val="003B5F3A"/>
    <w:rsid w:val="003B6EAC"/>
    <w:rsid w:val="003C4643"/>
    <w:rsid w:val="003D5DCA"/>
    <w:rsid w:val="003E671C"/>
    <w:rsid w:val="003F1ED1"/>
    <w:rsid w:val="003F3BFB"/>
    <w:rsid w:val="003F3FA9"/>
    <w:rsid w:val="003F6CA9"/>
    <w:rsid w:val="00402C40"/>
    <w:rsid w:val="0040725D"/>
    <w:rsid w:val="0041579B"/>
    <w:rsid w:val="00422568"/>
    <w:rsid w:val="004271DE"/>
    <w:rsid w:val="0043263E"/>
    <w:rsid w:val="00436BAB"/>
    <w:rsid w:val="00444B8F"/>
    <w:rsid w:val="00453206"/>
    <w:rsid w:val="004565E1"/>
    <w:rsid w:val="00463D67"/>
    <w:rsid w:val="0046561C"/>
    <w:rsid w:val="00465685"/>
    <w:rsid w:val="004676E8"/>
    <w:rsid w:val="00480510"/>
    <w:rsid w:val="004935E4"/>
    <w:rsid w:val="004A1B23"/>
    <w:rsid w:val="004A270A"/>
    <w:rsid w:val="004B2168"/>
    <w:rsid w:val="004D252E"/>
    <w:rsid w:val="004E7916"/>
    <w:rsid w:val="00502A8B"/>
    <w:rsid w:val="00503C36"/>
    <w:rsid w:val="005057B9"/>
    <w:rsid w:val="00516381"/>
    <w:rsid w:val="005231B2"/>
    <w:rsid w:val="0053462D"/>
    <w:rsid w:val="005505DE"/>
    <w:rsid w:val="0055366A"/>
    <w:rsid w:val="00555C3F"/>
    <w:rsid w:val="00576883"/>
    <w:rsid w:val="005901D9"/>
    <w:rsid w:val="0059345E"/>
    <w:rsid w:val="005A4AF4"/>
    <w:rsid w:val="005C7763"/>
    <w:rsid w:val="005D7959"/>
    <w:rsid w:val="005D7F74"/>
    <w:rsid w:val="005F0CD4"/>
    <w:rsid w:val="005F54D2"/>
    <w:rsid w:val="00602E49"/>
    <w:rsid w:val="006135B2"/>
    <w:rsid w:val="006303AB"/>
    <w:rsid w:val="00673725"/>
    <w:rsid w:val="00673D98"/>
    <w:rsid w:val="006957E6"/>
    <w:rsid w:val="0069620C"/>
    <w:rsid w:val="00696B64"/>
    <w:rsid w:val="006A06BD"/>
    <w:rsid w:val="006B1A97"/>
    <w:rsid w:val="006B4219"/>
    <w:rsid w:val="006C2BE0"/>
    <w:rsid w:val="006C408B"/>
    <w:rsid w:val="006C7972"/>
    <w:rsid w:val="006D6748"/>
    <w:rsid w:val="006F5E96"/>
    <w:rsid w:val="00706802"/>
    <w:rsid w:val="0071431D"/>
    <w:rsid w:val="007179BD"/>
    <w:rsid w:val="00720871"/>
    <w:rsid w:val="00735219"/>
    <w:rsid w:val="00743EF5"/>
    <w:rsid w:val="00761393"/>
    <w:rsid w:val="00765073"/>
    <w:rsid w:val="00770259"/>
    <w:rsid w:val="00775272"/>
    <w:rsid w:val="0077588D"/>
    <w:rsid w:val="007971F2"/>
    <w:rsid w:val="007A528F"/>
    <w:rsid w:val="007A5BA0"/>
    <w:rsid w:val="007A632F"/>
    <w:rsid w:val="007B09B7"/>
    <w:rsid w:val="007C4354"/>
    <w:rsid w:val="007D19C1"/>
    <w:rsid w:val="007D3B67"/>
    <w:rsid w:val="007E4279"/>
    <w:rsid w:val="007E5108"/>
    <w:rsid w:val="0080155E"/>
    <w:rsid w:val="0080492C"/>
    <w:rsid w:val="008117BD"/>
    <w:rsid w:val="0081656C"/>
    <w:rsid w:val="008201E8"/>
    <w:rsid w:val="008233AB"/>
    <w:rsid w:val="00825FA7"/>
    <w:rsid w:val="008362CB"/>
    <w:rsid w:val="00847498"/>
    <w:rsid w:val="008520E0"/>
    <w:rsid w:val="0086201B"/>
    <w:rsid w:val="0087695A"/>
    <w:rsid w:val="00887843"/>
    <w:rsid w:val="00892A79"/>
    <w:rsid w:val="008A6773"/>
    <w:rsid w:val="008A6C6A"/>
    <w:rsid w:val="008A6DE0"/>
    <w:rsid w:val="008B291A"/>
    <w:rsid w:val="008B58F8"/>
    <w:rsid w:val="008C1071"/>
    <w:rsid w:val="008C521C"/>
    <w:rsid w:val="008F1F24"/>
    <w:rsid w:val="008F555A"/>
    <w:rsid w:val="0092334D"/>
    <w:rsid w:val="00931FC7"/>
    <w:rsid w:val="00935FB7"/>
    <w:rsid w:val="0094222A"/>
    <w:rsid w:val="00944190"/>
    <w:rsid w:val="00944CB0"/>
    <w:rsid w:val="0096319A"/>
    <w:rsid w:val="00966684"/>
    <w:rsid w:val="00970741"/>
    <w:rsid w:val="0098099A"/>
    <w:rsid w:val="0099028E"/>
    <w:rsid w:val="00991D77"/>
    <w:rsid w:val="00991FA2"/>
    <w:rsid w:val="00994911"/>
    <w:rsid w:val="009A1506"/>
    <w:rsid w:val="009B0361"/>
    <w:rsid w:val="009D05DE"/>
    <w:rsid w:val="009E6F25"/>
    <w:rsid w:val="009F0397"/>
    <w:rsid w:val="00A11B53"/>
    <w:rsid w:val="00A14671"/>
    <w:rsid w:val="00A14789"/>
    <w:rsid w:val="00A30AAD"/>
    <w:rsid w:val="00A338EA"/>
    <w:rsid w:val="00A34859"/>
    <w:rsid w:val="00A34E20"/>
    <w:rsid w:val="00A5050F"/>
    <w:rsid w:val="00A5193C"/>
    <w:rsid w:val="00A60584"/>
    <w:rsid w:val="00A63A14"/>
    <w:rsid w:val="00A712ED"/>
    <w:rsid w:val="00A71585"/>
    <w:rsid w:val="00A76974"/>
    <w:rsid w:val="00A85F0C"/>
    <w:rsid w:val="00A8776B"/>
    <w:rsid w:val="00A91B1B"/>
    <w:rsid w:val="00AA0581"/>
    <w:rsid w:val="00AB772E"/>
    <w:rsid w:val="00AC045E"/>
    <w:rsid w:val="00AC3D48"/>
    <w:rsid w:val="00AC4638"/>
    <w:rsid w:val="00AC6C6B"/>
    <w:rsid w:val="00AD4A70"/>
    <w:rsid w:val="00AD7A5E"/>
    <w:rsid w:val="00AE4F37"/>
    <w:rsid w:val="00AE645C"/>
    <w:rsid w:val="00B011AF"/>
    <w:rsid w:val="00B16EF8"/>
    <w:rsid w:val="00B23BE2"/>
    <w:rsid w:val="00B3174E"/>
    <w:rsid w:val="00B60510"/>
    <w:rsid w:val="00B6764E"/>
    <w:rsid w:val="00B8597C"/>
    <w:rsid w:val="00B971A9"/>
    <w:rsid w:val="00BA4569"/>
    <w:rsid w:val="00BB4925"/>
    <w:rsid w:val="00BC7526"/>
    <w:rsid w:val="00BD0F41"/>
    <w:rsid w:val="00BD1D6A"/>
    <w:rsid w:val="00BD3711"/>
    <w:rsid w:val="00BD7B1B"/>
    <w:rsid w:val="00BE5BE1"/>
    <w:rsid w:val="00BE6DE0"/>
    <w:rsid w:val="00BF03BC"/>
    <w:rsid w:val="00BF1278"/>
    <w:rsid w:val="00BF1D10"/>
    <w:rsid w:val="00BF22EF"/>
    <w:rsid w:val="00BF2C43"/>
    <w:rsid w:val="00C01F45"/>
    <w:rsid w:val="00C0612A"/>
    <w:rsid w:val="00C11BDC"/>
    <w:rsid w:val="00C155A8"/>
    <w:rsid w:val="00C26B59"/>
    <w:rsid w:val="00C272E8"/>
    <w:rsid w:val="00C5013F"/>
    <w:rsid w:val="00C55DBD"/>
    <w:rsid w:val="00C56F0A"/>
    <w:rsid w:val="00C77458"/>
    <w:rsid w:val="00C84C62"/>
    <w:rsid w:val="00C9561A"/>
    <w:rsid w:val="00CB18C3"/>
    <w:rsid w:val="00CC25BF"/>
    <w:rsid w:val="00CC4592"/>
    <w:rsid w:val="00CC6C6D"/>
    <w:rsid w:val="00CF110A"/>
    <w:rsid w:val="00CF64F4"/>
    <w:rsid w:val="00CF798B"/>
    <w:rsid w:val="00D119B7"/>
    <w:rsid w:val="00D12E11"/>
    <w:rsid w:val="00D17336"/>
    <w:rsid w:val="00D17E1F"/>
    <w:rsid w:val="00D23443"/>
    <w:rsid w:val="00D300C0"/>
    <w:rsid w:val="00D37CD1"/>
    <w:rsid w:val="00D41305"/>
    <w:rsid w:val="00D42589"/>
    <w:rsid w:val="00D51D87"/>
    <w:rsid w:val="00D6120F"/>
    <w:rsid w:val="00D6127D"/>
    <w:rsid w:val="00D66C6F"/>
    <w:rsid w:val="00D70B67"/>
    <w:rsid w:val="00D80042"/>
    <w:rsid w:val="00D82D7D"/>
    <w:rsid w:val="00DB3259"/>
    <w:rsid w:val="00DB41B8"/>
    <w:rsid w:val="00DE5171"/>
    <w:rsid w:val="00DF52E4"/>
    <w:rsid w:val="00DF53CC"/>
    <w:rsid w:val="00DF5CB2"/>
    <w:rsid w:val="00E05340"/>
    <w:rsid w:val="00E272B1"/>
    <w:rsid w:val="00E31969"/>
    <w:rsid w:val="00E341BF"/>
    <w:rsid w:val="00E34853"/>
    <w:rsid w:val="00E411E0"/>
    <w:rsid w:val="00E420EF"/>
    <w:rsid w:val="00E422DD"/>
    <w:rsid w:val="00E57AB2"/>
    <w:rsid w:val="00E7058A"/>
    <w:rsid w:val="00E850EA"/>
    <w:rsid w:val="00E87E3D"/>
    <w:rsid w:val="00EA2BA2"/>
    <w:rsid w:val="00EA731F"/>
    <w:rsid w:val="00EB2BC9"/>
    <w:rsid w:val="00EB4439"/>
    <w:rsid w:val="00EB748D"/>
    <w:rsid w:val="00EC427B"/>
    <w:rsid w:val="00EC765A"/>
    <w:rsid w:val="00ED1A56"/>
    <w:rsid w:val="00ED255B"/>
    <w:rsid w:val="00EE0DD2"/>
    <w:rsid w:val="00EF667D"/>
    <w:rsid w:val="00F01CCB"/>
    <w:rsid w:val="00F043BC"/>
    <w:rsid w:val="00F07DC4"/>
    <w:rsid w:val="00F129A1"/>
    <w:rsid w:val="00F12A3D"/>
    <w:rsid w:val="00F2684E"/>
    <w:rsid w:val="00F31835"/>
    <w:rsid w:val="00F409A4"/>
    <w:rsid w:val="00F55770"/>
    <w:rsid w:val="00F55A12"/>
    <w:rsid w:val="00F61AF6"/>
    <w:rsid w:val="00F622B8"/>
    <w:rsid w:val="00F72221"/>
    <w:rsid w:val="00F748FD"/>
    <w:rsid w:val="00F77A4D"/>
    <w:rsid w:val="00F77B75"/>
    <w:rsid w:val="00F84545"/>
    <w:rsid w:val="00F855A3"/>
    <w:rsid w:val="00F86590"/>
    <w:rsid w:val="00F97B7C"/>
    <w:rsid w:val="00FA75C8"/>
    <w:rsid w:val="00FB41B8"/>
    <w:rsid w:val="00FB457C"/>
    <w:rsid w:val="00FB74AA"/>
    <w:rsid w:val="00FC3744"/>
    <w:rsid w:val="00FC5C5B"/>
    <w:rsid w:val="00FC68F8"/>
    <w:rsid w:val="00FC7098"/>
    <w:rsid w:val="00FD1AF2"/>
    <w:rsid w:val="00FD47CF"/>
    <w:rsid w:val="00FD531B"/>
    <w:rsid w:val="00FD6D48"/>
    <w:rsid w:val="00FE42C3"/>
    <w:rsid w:val="00FE6C2E"/>
    <w:rsid w:val="00FF3A2F"/>
    <w:rsid w:val="00FF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561A"/>
    <w:pPr>
      <w:ind w:left="720"/>
      <w:contextualSpacing/>
    </w:pPr>
    <w:rPr>
      <w:rFonts w:cs="Angsana New"/>
      <w:szCs w:val="28"/>
    </w:rPr>
  </w:style>
  <w:style w:type="paragraph" w:customStyle="1" w:styleId="Default">
    <w:name w:val="Default"/>
    <w:rsid w:val="003F6C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561A"/>
    <w:pPr>
      <w:ind w:left="720"/>
      <w:contextualSpacing/>
    </w:pPr>
    <w:rPr>
      <w:rFonts w:cs="Angsana New"/>
      <w:szCs w:val="28"/>
    </w:rPr>
  </w:style>
  <w:style w:type="paragraph" w:customStyle="1" w:styleId="Default">
    <w:name w:val="Default"/>
    <w:rsid w:val="003F6C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7B9D-67F3-4724-A93F-0DE99180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 Suwan</dc:creator>
  <cp:lastModifiedBy>Tidanun Thanchit</cp:lastModifiedBy>
  <cp:revision>31</cp:revision>
  <cp:lastPrinted>2019-10-08T02:31:00Z</cp:lastPrinted>
  <dcterms:created xsi:type="dcterms:W3CDTF">2019-10-03T04:56:00Z</dcterms:created>
  <dcterms:modified xsi:type="dcterms:W3CDTF">2019-10-08T02:32:00Z</dcterms:modified>
</cp:coreProperties>
</file>